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39FD8D" w14:textId="37C17011" w:rsidR="008E0119" w:rsidRPr="00A16EEF" w:rsidRDefault="00EA3BFF">
      <w:pPr>
        <w:pStyle w:val="a4"/>
        <w:shd w:val="clear" w:color="auto" w:fill="auto"/>
        <w:spacing w:line="240" w:lineRule="auto"/>
        <w:ind w:left="4138"/>
      </w:pPr>
      <w:r>
        <w:fldChar w:fldCharType="begin"/>
      </w:r>
      <w:r>
        <w:instrText xml:space="preserve"> HYPERLINK "http://dx.doi.org/10.1016/j.atherosclerosis.2013.06.025" </w:instrText>
      </w:r>
      <w:r>
        <w:fldChar w:fldCharType="separate"/>
      </w:r>
      <w:r w:rsidR="00D8072A" w:rsidRPr="00A16EEF">
        <w:rPr>
          <w:color w:val="000066"/>
          <w:lang w:bidi="ru-RU"/>
        </w:rPr>
        <w:t>Atherosclerosis 230 (2013) 80</w:t>
      </w:r>
      <w:r>
        <w:rPr>
          <w:color w:val="000066"/>
          <w:lang w:bidi="ru-RU"/>
        </w:rPr>
        <w:fldChar w:fldCharType="end"/>
      </w:r>
      <w:r w:rsidR="00D8072A" w:rsidRPr="00A16EEF">
        <w:rPr>
          <w:rFonts w:eastAsia="Arial"/>
          <w:color w:val="000066"/>
          <w:sz w:val="12"/>
          <w:szCs w:val="12"/>
          <w:lang w:bidi="ru-RU"/>
        </w:rPr>
        <w:t>-</w:t>
      </w:r>
      <w:hyperlink r:id="rId9" w:history="1">
        <w:r w:rsidR="00D8072A" w:rsidRPr="00A16EEF">
          <w:rPr>
            <w:color w:val="000066"/>
            <w:lang w:bidi="ru-RU"/>
          </w:rPr>
          <w:t>85</w:t>
        </w:r>
      </w:hyperlink>
    </w:p>
    <w:p w14:paraId="4F39FD8E" w14:textId="77777777" w:rsidR="00D8072A" w:rsidRPr="00A16EEF" w:rsidRDefault="00D8072A">
      <w:pPr>
        <w:pStyle w:val="a4"/>
        <w:shd w:val="clear" w:color="auto" w:fill="auto"/>
        <w:spacing w:line="240" w:lineRule="auto"/>
        <w:ind w:left="4138"/>
      </w:pP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1551"/>
        <w:gridCol w:w="7537"/>
        <w:gridCol w:w="1484"/>
      </w:tblGrid>
      <w:tr w:rsidR="008E0119" w:rsidRPr="00A16EEF" w14:paraId="4F39FD92" w14:textId="77777777" w:rsidTr="00D8072A">
        <w:trPr>
          <w:trHeight w:val="72"/>
        </w:trPr>
        <w:tc>
          <w:tcPr>
            <w:tcW w:w="723" w:type="pct"/>
            <w:tcBorders>
              <w:top w:val="single" w:sz="4" w:space="0" w:color="auto"/>
            </w:tcBorders>
            <w:shd w:val="clear" w:color="auto" w:fill="FFFFFF"/>
            <w:vAlign w:val="center"/>
          </w:tcPr>
          <w:p w14:paraId="4F39FD8F" w14:textId="77777777" w:rsidR="008E0119" w:rsidRPr="00A16EEF" w:rsidRDefault="008E0119" w:rsidP="00D8072A">
            <w:pPr>
              <w:rPr>
                <w:rFonts w:ascii="Times New Roman" w:hAnsi="Times New Roman" w:cs="Times New Roman"/>
                <w:sz w:val="10"/>
                <w:szCs w:val="10"/>
              </w:rPr>
            </w:pPr>
          </w:p>
        </w:tc>
        <w:tc>
          <w:tcPr>
            <w:tcW w:w="3583" w:type="pct"/>
            <w:tcBorders>
              <w:top w:val="single" w:sz="4" w:space="0" w:color="auto"/>
            </w:tcBorders>
            <w:shd w:val="clear" w:color="auto" w:fill="FFFFFF"/>
            <w:vAlign w:val="center"/>
          </w:tcPr>
          <w:p w14:paraId="4F39FD90" w14:textId="77777777" w:rsidR="008E0119" w:rsidRPr="00A16EEF" w:rsidRDefault="008E0119" w:rsidP="00D8072A">
            <w:pPr>
              <w:rPr>
                <w:rFonts w:ascii="Times New Roman" w:hAnsi="Times New Roman" w:cs="Times New Roman"/>
                <w:sz w:val="10"/>
                <w:szCs w:val="10"/>
              </w:rPr>
            </w:pPr>
          </w:p>
        </w:tc>
        <w:tc>
          <w:tcPr>
            <w:tcW w:w="694" w:type="pct"/>
            <w:vMerge w:val="restart"/>
            <w:shd w:val="clear" w:color="auto" w:fill="FFFFFF"/>
            <w:vAlign w:val="center"/>
          </w:tcPr>
          <w:p w14:paraId="4F39FD91" w14:textId="77777777" w:rsidR="008E0119" w:rsidRPr="00A16EEF" w:rsidRDefault="00D8072A" w:rsidP="00D8072A">
            <w:pPr>
              <w:rPr>
                <w:rFonts w:ascii="Times New Roman" w:hAnsi="Times New Roman" w:cs="Times New Roman"/>
                <w:sz w:val="2"/>
                <w:szCs w:val="2"/>
              </w:rPr>
            </w:pPr>
            <w:r w:rsidRPr="00A16EEF">
              <w:rPr>
                <w:rFonts w:ascii="Times New Roman" w:hAnsi="Times New Roman" w:cs="Times New Roman"/>
                <w:noProof/>
                <w:lang w:eastAsia="ru-RU" w:bidi="ar-SA"/>
              </w:rPr>
              <w:drawing>
                <wp:inline distT="0" distB="0" distL="0" distR="0" wp14:anchorId="4F39FFAC" wp14:editId="4F39FFAD">
                  <wp:extent cx="920750" cy="9207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pic:blipFill>
                        <pic:spPr>
                          <a:xfrm>
                            <a:off x="0" y="0"/>
                            <a:ext cx="920750" cy="920750"/>
                          </a:xfrm>
                          <a:prstGeom prst="rect">
                            <a:avLst/>
                          </a:prstGeom>
                        </pic:spPr>
                      </pic:pic>
                    </a:graphicData>
                  </a:graphic>
                </wp:inline>
              </w:drawing>
            </w:r>
          </w:p>
        </w:tc>
      </w:tr>
      <w:tr w:rsidR="008E0119" w:rsidRPr="00A16EEF" w14:paraId="4F39FD9A" w14:textId="77777777" w:rsidTr="00D8072A">
        <w:trPr>
          <w:trHeight w:val="1373"/>
        </w:trPr>
        <w:tc>
          <w:tcPr>
            <w:tcW w:w="723" w:type="pct"/>
            <w:shd w:val="clear" w:color="auto" w:fill="FFFFFF"/>
            <w:vAlign w:val="center"/>
          </w:tcPr>
          <w:p w14:paraId="4F39FD93" w14:textId="77777777" w:rsidR="008E0119" w:rsidRPr="00A16EEF" w:rsidRDefault="00D8072A" w:rsidP="00D8072A">
            <w:pPr>
              <w:rPr>
                <w:rFonts w:ascii="Times New Roman" w:hAnsi="Times New Roman" w:cs="Times New Roman"/>
                <w:sz w:val="2"/>
                <w:szCs w:val="2"/>
              </w:rPr>
            </w:pPr>
            <w:r w:rsidRPr="00A16EEF">
              <w:rPr>
                <w:rFonts w:ascii="Times New Roman" w:hAnsi="Times New Roman" w:cs="Times New Roman"/>
                <w:noProof/>
                <w:lang w:eastAsia="ru-RU" w:bidi="ar-SA"/>
              </w:rPr>
              <w:drawing>
                <wp:inline distT="0" distB="0" distL="0" distR="0" wp14:anchorId="4F39FFAE" wp14:editId="4F39FFAF">
                  <wp:extent cx="963295" cy="87185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pic:blipFill>
                        <pic:spPr>
                          <a:xfrm>
                            <a:off x="0" y="0"/>
                            <a:ext cx="963295" cy="871855"/>
                          </a:xfrm>
                          <a:prstGeom prst="rect">
                            <a:avLst/>
                          </a:prstGeom>
                        </pic:spPr>
                      </pic:pic>
                    </a:graphicData>
                  </a:graphic>
                </wp:inline>
              </w:drawing>
            </w:r>
          </w:p>
        </w:tc>
        <w:tc>
          <w:tcPr>
            <w:tcW w:w="3583" w:type="pct"/>
            <w:shd w:val="clear" w:color="auto" w:fill="E5E5E5"/>
            <w:vAlign w:val="center"/>
          </w:tcPr>
          <w:p w14:paraId="4F39FD94" w14:textId="12F51EEF" w:rsidR="008E0119" w:rsidRPr="00A16EEF" w:rsidRDefault="00D8072A" w:rsidP="00D8072A">
            <w:pPr>
              <w:pStyle w:val="a6"/>
              <w:shd w:val="clear" w:color="auto" w:fill="auto"/>
              <w:ind w:firstLine="0"/>
              <w:jc w:val="center"/>
            </w:pPr>
            <w:r w:rsidRPr="00A16EEF">
              <w:rPr>
                <w:rFonts w:eastAsia="Arial"/>
                <w:sz w:val="16"/>
                <w:szCs w:val="16"/>
                <w:lang w:bidi="ru-RU"/>
              </w:rPr>
              <w:t xml:space="preserve">Содержание доступно в собрании полнотекстовых материалов </w:t>
            </w:r>
            <w:hyperlink r:id="rId12" w:history="1">
              <w:r w:rsidRPr="00A16EEF">
                <w:rPr>
                  <w:rFonts w:eastAsia="Arial"/>
                  <w:color w:val="000066"/>
                  <w:sz w:val="16"/>
                  <w:szCs w:val="16"/>
                  <w:lang w:bidi="ru-RU"/>
                </w:rPr>
                <w:t>SciVerse ScienceDirect</w:t>
              </w:r>
            </w:hyperlink>
          </w:p>
          <w:p w14:paraId="4F39FD95" w14:textId="77777777" w:rsidR="00D8072A" w:rsidRPr="00A16EEF" w:rsidRDefault="00D8072A" w:rsidP="00D8072A">
            <w:pPr>
              <w:pStyle w:val="a6"/>
              <w:shd w:val="clear" w:color="auto" w:fill="auto"/>
              <w:ind w:firstLine="0"/>
              <w:jc w:val="center"/>
              <w:rPr>
                <w:sz w:val="16"/>
                <w:szCs w:val="16"/>
              </w:rPr>
            </w:pPr>
          </w:p>
          <w:p w14:paraId="4F39FD96" w14:textId="77777777" w:rsidR="008E0119" w:rsidRPr="00A16EEF" w:rsidRDefault="00D8072A" w:rsidP="00D8072A">
            <w:pPr>
              <w:pStyle w:val="a6"/>
              <w:shd w:val="clear" w:color="auto" w:fill="auto"/>
              <w:ind w:firstLine="0"/>
              <w:jc w:val="center"/>
              <w:rPr>
                <w:sz w:val="34"/>
                <w:szCs w:val="34"/>
              </w:rPr>
            </w:pPr>
            <w:r w:rsidRPr="00A16EEF">
              <w:rPr>
                <w:sz w:val="34"/>
                <w:szCs w:val="34"/>
                <w:lang w:bidi="ru-RU"/>
              </w:rPr>
              <w:t>Atherosclerosis</w:t>
            </w:r>
          </w:p>
          <w:p w14:paraId="4F39FD97" w14:textId="77777777" w:rsidR="00D8072A" w:rsidRPr="00A16EEF" w:rsidRDefault="00D8072A" w:rsidP="00D8072A">
            <w:pPr>
              <w:pStyle w:val="a6"/>
              <w:shd w:val="clear" w:color="auto" w:fill="auto"/>
              <w:ind w:firstLine="0"/>
              <w:jc w:val="center"/>
              <w:rPr>
                <w:sz w:val="34"/>
                <w:szCs w:val="34"/>
              </w:rPr>
            </w:pPr>
          </w:p>
          <w:p w14:paraId="4F39FD98" w14:textId="60B079BC" w:rsidR="008E0119" w:rsidRPr="00A16EEF" w:rsidRDefault="00D8072A" w:rsidP="00D8072A">
            <w:pPr>
              <w:pStyle w:val="a6"/>
              <w:shd w:val="clear" w:color="auto" w:fill="auto"/>
              <w:ind w:firstLine="0"/>
              <w:jc w:val="center"/>
              <w:rPr>
                <w:sz w:val="16"/>
                <w:szCs w:val="16"/>
              </w:rPr>
            </w:pPr>
            <w:r w:rsidRPr="00A16EEF">
              <w:rPr>
                <w:rFonts w:eastAsia="Arial"/>
                <w:sz w:val="16"/>
                <w:szCs w:val="16"/>
                <w:lang w:bidi="ru-RU"/>
              </w:rPr>
              <w:t xml:space="preserve">Сайт журнала: </w:t>
            </w:r>
            <w:hyperlink r:id="rId13" w:history="1">
              <w:r w:rsidRPr="00A16EEF">
                <w:rPr>
                  <w:rFonts w:eastAsia="Arial"/>
                  <w:sz w:val="16"/>
                  <w:szCs w:val="16"/>
                  <w:lang w:bidi="ru-RU"/>
                </w:rPr>
                <w:t>www.elsevier.com/locate/atherosclerosis</w:t>
              </w:r>
            </w:hyperlink>
          </w:p>
        </w:tc>
        <w:tc>
          <w:tcPr>
            <w:tcW w:w="694" w:type="pct"/>
            <w:vMerge/>
            <w:shd w:val="clear" w:color="auto" w:fill="FFFFFF"/>
            <w:vAlign w:val="center"/>
          </w:tcPr>
          <w:p w14:paraId="4F39FD99" w14:textId="77777777" w:rsidR="008E0119" w:rsidRPr="00A16EEF" w:rsidRDefault="008E0119" w:rsidP="00D8072A">
            <w:pPr>
              <w:rPr>
                <w:rFonts w:ascii="Times New Roman" w:hAnsi="Times New Roman" w:cs="Times New Roman"/>
              </w:rPr>
            </w:pPr>
          </w:p>
        </w:tc>
      </w:tr>
      <w:tr w:rsidR="008E0119" w:rsidRPr="00A16EEF" w14:paraId="4F39FD9E" w14:textId="77777777" w:rsidTr="00D8072A">
        <w:trPr>
          <w:trHeight w:val="91"/>
        </w:trPr>
        <w:tc>
          <w:tcPr>
            <w:tcW w:w="723" w:type="pct"/>
            <w:tcBorders>
              <w:bottom w:val="single" w:sz="36" w:space="0" w:color="auto"/>
            </w:tcBorders>
            <w:shd w:val="clear" w:color="auto" w:fill="FFFFFF"/>
            <w:vAlign w:val="center"/>
          </w:tcPr>
          <w:p w14:paraId="4F39FD9B" w14:textId="77777777" w:rsidR="008E0119" w:rsidRPr="00A16EEF" w:rsidRDefault="008E0119" w:rsidP="00D8072A">
            <w:pPr>
              <w:rPr>
                <w:rFonts w:ascii="Times New Roman" w:hAnsi="Times New Roman" w:cs="Times New Roman"/>
                <w:sz w:val="10"/>
                <w:szCs w:val="10"/>
              </w:rPr>
            </w:pPr>
          </w:p>
        </w:tc>
        <w:tc>
          <w:tcPr>
            <w:tcW w:w="3583" w:type="pct"/>
            <w:tcBorders>
              <w:bottom w:val="single" w:sz="36" w:space="0" w:color="auto"/>
            </w:tcBorders>
            <w:shd w:val="clear" w:color="auto" w:fill="FFFFFF"/>
            <w:vAlign w:val="center"/>
          </w:tcPr>
          <w:p w14:paraId="4F39FD9C" w14:textId="77777777" w:rsidR="008E0119" w:rsidRPr="00A16EEF" w:rsidRDefault="008E0119" w:rsidP="00D8072A">
            <w:pPr>
              <w:rPr>
                <w:rFonts w:ascii="Times New Roman" w:hAnsi="Times New Roman" w:cs="Times New Roman"/>
                <w:sz w:val="10"/>
                <w:szCs w:val="10"/>
              </w:rPr>
            </w:pPr>
          </w:p>
        </w:tc>
        <w:tc>
          <w:tcPr>
            <w:tcW w:w="694" w:type="pct"/>
            <w:tcBorders>
              <w:bottom w:val="single" w:sz="36" w:space="0" w:color="auto"/>
            </w:tcBorders>
            <w:shd w:val="clear" w:color="auto" w:fill="FFFFFF"/>
            <w:vAlign w:val="center"/>
          </w:tcPr>
          <w:p w14:paraId="4F39FD9D" w14:textId="77777777" w:rsidR="008E0119" w:rsidRPr="00A16EEF" w:rsidRDefault="008E0119" w:rsidP="00D8072A">
            <w:pPr>
              <w:rPr>
                <w:rFonts w:ascii="Times New Roman" w:hAnsi="Times New Roman" w:cs="Times New Roman"/>
                <w:sz w:val="10"/>
                <w:szCs w:val="10"/>
              </w:rPr>
            </w:pPr>
          </w:p>
        </w:tc>
      </w:tr>
    </w:tbl>
    <w:p w14:paraId="4F39FD9F" w14:textId="77777777" w:rsidR="008E0119" w:rsidRPr="00A16EEF" w:rsidRDefault="008E0119" w:rsidP="00D8072A">
      <w:pPr>
        <w:rPr>
          <w:rFonts w:ascii="Times New Roman" w:hAnsi="Times New Roman" w:cs="Times New Roman"/>
        </w:rPr>
      </w:pP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9175"/>
        <w:gridCol w:w="1397"/>
      </w:tblGrid>
      <w:tr w:rsidR="008E0119" w:rsidRPr="00A16EEF" w14:paraId="4F39FDA2" w14:textId="77777777" w:rsidTr="00D8072A">
        <w:trPr>
          <w:trHeight w:val="706"/>
        </w:trPr>
        <w:tc>
          <w:tcPr>
            <w:tcW w:w="4358" w:type="pct"/>
            <w:shd w:val="clear" w:color="auto" w:fill="FFFFFF"/>
            <w:vAlign w:val="center"/>
          </w:tcPr>
          <w:p w14:paraId="4F39FDA0" w14:textId="77777777" w:rsidR="008E0119" w:rsidRPr="00A16EEF" w:rsidRDefault="00D8072A" w:rsidP="00D8072A">
            <w:pPr>
              <w:pStyle w:val="a6"/>
              <w:shd w:val="clear" w:color="auto" w:fill="auto"/>
              <w:ind w:firstLine="0"/>
              <w:rPr>
                <w:sz w:val="28"/>
                <w:szCs w:val="28"/>
              </w:rPr>
            </w:pPr>
            <w:bookmarkStart w:id="1" w:name="bookmark0"/>
            <w:r w:rsidRPr="00A16EEF">
              <w:rPr>
                <w:sz w:val="28"/>
                <w:szCs w:val="28"/>
                <w:lang w:bidi="ru-RU"/>
              </w:rPr>
              <w:t>Положительное влияние потребления калия при метаболическом синдроме: исследование KNHANES IV (четвертая Корейская</w:t>
            </w:r>
            <w:bookmarkStart w:id="2" w:name="bookmark1"/>
            <w:bookmarkEnd w:id="1"/>
            <w:r w:rsidRPr="00A16EEF">
              <w:rPr>
                <w:sz w:val="28"/>
                <w:szCs w:val="28"/>
                <w:lang w:bidi="ru-RU"/>
              </w:rPr>
              <w:t xml:space="preserve"> Национальная программа оценки здоровья и питания)</w:t>
            </w:r>
            <w:bookmarkEnd w:id="2"/>
          </w:p>
        </w:tc>
        <w:tc>
          <w:tcPr>
            <w:tcW w:w="642" w:type="pct"/>
            <w:shd w:val="clear" w:color="auto" w:fill="FFFFFF"/>
          </w:tcPr>
          <w:p w14:paraId="4F39FDA1" w14:textId="77777777" w:rsidR="008E0119" w:rsidRPr="00A16EEF" w:rsidRDefault="00D8072A" w:rsidP="00D8072A">
            <w:pPr>
              <w:rPr>
                <w:rFonts w:ascii="Times New Roman" w:hAnsi="Times New Roman" w:cs="Times New Roman"/>
                <w:sz w:val="2"/>
                <w:szCs w:val="2"/>
              </w:rPr>
            </w:pPr>
            <w:r w:rsidRPr="00A16EEF">
              <w:rPr>
                <w:rFonts w:ascii="Times New Roman" w:hAnsi="Times New Roman" w:cs="Times New Roman"/>
                <w:noProof/>
                <w:lang w:eastAsia="ru-RU" w:bidi="ar-SA"/>
              </w:rPr>
              <w:drawing>
                <wp:inline distT="0" distB="0" distL="0" distR="0" wp14:anchorId="4F39FFB0" wp14:editId="4F39FFB1">
                  <wp:extent cx="865505" cy="4508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pic:blipFill>
                        <pic:spPr>
                          <a:xfrm>
                            <a:off x="0" y="0"/>
                            <a:ext cx="865505" cy="450850"/>
                          </a:xfrm>
                          <a:prstGeom prst="rect">
                            <a:avLst/>
                          </a:prstGeom>
                        </pic:spPr>
                      </pic:pic>
                    </a:graphicData>
                  </a:graphic>
                </wp:inline>
              </w:drawing>
            </w:r>
          </w:p>
        </w:tc>
      </w:tr>
    </w:tbl>
    <w:p w14:paraId="4F39FDA3" w14:textId="3D17A23B" w:rsidR="008E0119" w:rsidRPr="00A16EEF" w:rsidRDefault="00D8072A" w:rsidP="00D8072A">
      <w:pPr>
        <w:pStyle w:val="60"/>
        <w:shd w:val="clear" w:color="auto" w:fill="auto"/>
        <w:spacing w:before="80" w:after="80"/>
        <w:rPr>
          <w:sz w:val="20"/>
          <w:szCs w:val="20"/>
          <w:lang w:val="en-US"/>
        </w:rPr>
      </w:pPr>
      <w:r w:rsidRPr="00A16EEF">
        <w:rPr>
          <w:lang w:val="en-US" w:bidi="ru-RU"/>
        </w:rPr>
        <w:t xml:space="preserve">Doosup Shin </w:t>
      </w:r>
      <w:hyperlink w:anchor="bookmark2" w:tooltip="Текущий документ">
        <w:r w:rsidRPr="00A16EEF">
          <w:rPr>
            <w:color w:val="000066"/>
            <w:vertAlign w:val="superscript"/>
            <w:lang w:val="en-US" w:bidi="ru-RU"/>
          </w:rPr>
          <w:t>a</w:t>
        </w:r>
      </w:hyperlink>
      <w:r w:rsidRPr="00A16EEF">
        <w:rPr>
          <w:lang w:val="en-US" w:bidi="ru-RU"/>
        </w:rPr>
        <w:t xml:space="preserve">, Hee-Kyung Joh </w:t>
      </w:r>
      <w:hyperlink w:anchor="bookmark3" w:tooltip="Текущий документ">
        <w:r w:rsidRPr="00A16EEF">
          <w:rPr>
            <w:color w:val="000066"/>
            <w:vertAlign w:val="superscript"/>
            <w:lang w:val="en-US" w:bidi="ru-RU"/>
          </w:rPr>
          <w:t>b</w:t>
        </w:r>
      </w:hyperlink>
      <w:r w:rsidRPr="00A16EEF">
        <w:rPr>
          <w:vertAlign w:val="superscript"/>
          <w:lang w:val="en-US" w:bidi="ru-RU"/>
        </w:rPr>
        <w:t>,</w:t>
      </w:r>
      <w:hyperlink w:anchor="bookmark4" w:tooltip="Current Document">
        <w:r w:rsidRPr="00A16EEF">
          <w:rPr>
            <w:color w:val="000066"/>
            <w:vertAlign w:val="superscript"/>
            <w:lang w:val="en-US" w:bidi="ru-RU"/>
          </w:rPr>
          <w:t>c</w:t>
        </w:r>
      </w:hyperlink>
      <w:r w:rsidRPr="00A16EEF">
        <w:rPr>
          <w:lang w:val="en-US" w:bidi="ru-RU"/>
        </w:rPr>
        <w:t xml:space="preserve">, Kyae Hyung Kim </w:t>
      </w:r>
      <w:hyperlink w:anchor="bookmark5" w:tooltip="Текущий документ">
        <w:r w:rsidRPr="00A16EEF">
          <w:rPr>
            <w:color w:val="000066"/>
            <w:vertAlign w:val="superscript"/>
            <w:lang w:val="en-US" w:bidi="ru-RU"/>
          </w:rPr>
          <w:t>d</w:t>
        </w:r>
      </w:hyperlink>
      <w:r w:rsidRPr="00A16EEF">
        <w:rPr>
          <w:lang w:val="en-US" w:bidi="ru-RU"/>
        </w:rPr>
        <w:t xml:space="preserve">, Sang Min Park </w:t>
      </w:r>
      <w:hyperlink w:anchor="bookmark5" w:tooltip="Текущий документ">
        <w:r w:rsidRPr="00A16EEF">
          <w:rPr>
            <w:color w:val="000066"/>
            <w:vertAlign w:val="superscript"/>
            <w:lang w:val="en-US" w:bidi="ru-RU"/>
          </w:rPr>
          <w:t>d</w:t>
        </w:r>
      </w:hyperlink>
      <w:r w:rsidRPr="00A16EEF">
        <w:rPr>
          <w:vertAlign w:val="superscript"/>
          <w:lang w:val="en-US" w:bidi="ru-RU"/>
        </w:rPr>
        <w:t>,</w:t>
      </w:r>
      <w:hyperlink w:anchor="bookmark6" w:tooltip="Текущий документ">
        <w:r w:rsidRPr="00A16EEF">
          <w:rPr>
            <w:color w:val="000066"/>
            <w:vertAlign w:val="superscript"/>
            <w:lang w:val="en-US" w:bidi="ru-RU"/>
          </w:rPr>
          <w:t>e</w:t>
        </w:r>
      </w:hyperlink>
      <w:r w:rsidRPr="00A16EEF">
        <w:rPr>
          <w:vertAlign w:val="superscript"/>
          <w:lang w:val="en-US" w:bidi="ru-RU"/>
        </w:rPr>
        <w:t>,</w:t>
      </w:r>
      <w:r w:rsidR="000D7E97">
        <w:rPr>
          <w:rStyle w:val="af2"/>
          <w:lang w:val="en-US" w:bidi="ru-RU"/>
        </w:rPr>
        <w:footnoteReference w:customMarkFollows="1" w:id="1"/>
        <w:t>*</w:t>
      </w:r>
      <w:r w:rsidR="000D7E97" w:rsidRPr="00A16EEF">
        <w:rPr>
          <w:sz w:val="20"/>
          <w:szCs w:val="20"/>
          <w:lang w:val="en-US"/>
        </w:rPr>
        <w:t xml:space="preserve"> </w:t>
      </w:r>
    </w:p>
    <w:p w14:paraId="4F39FDA4" w14:textId="77777777" w:rsidR="008E0119" w:rsidRPr="00A16EEF" w:rsidRDefault="00D8072A">
      <w:pPr>
        <w:pStyle w:val="50"/>
        <w:shd w:val="clear" w:color="auto" w:fill="auto"/>
        <w:rPr>
          <w:i/>
        </w:rPr>
      </w:pPr>
      <w:bookmarkStart w:id="3" w:name="bookmark2"/>
      <w:r w:rsidRPr="00A16EEF">
        <w:rPr>
          <w:i/>
          <w:sz w:val="14"/>
          <w:szCs w:val="14"/>
          <w:vertAlign w:val="superscript"/>
          <w:lang w:bidi="ru-RU"/>
        </w:rPr>
        <w:t>a</w:t>
      </w:r>
      <w:bookmarkEnd w:id="3"/>
      <w:r w:rsidRPr="00A16EEF">
        <w:rPr>
          <w:i/>
          <w:sz w:val="14"/>
          <w:szCs w:val="14"/>
          <w:lang w:bidi="ru-RU"/>
        </w:rPr>
        <w:t xml:space="preserve"> </w:t>
      </w:r>
      <w:r w:rsidRPr="00A16EEF">
        <w:rPr>
          <w:i/>
          <w:lang w:bidi="ru-RU"/>
        </w:rPr>
        <w:t>Центр общественного здоровья Чансон, Чансон-гун, Южная Корея</w:t>
      </w:r>
    </w:p>
    <w:p w14:paraId="4F39FDA5" w14:textId="77777777" w:rsidR="008E0119" w:rsidRPr="00A16EEF" w:rsidRDefault="00D8072A">
      <w:pPr>
        <w:pStyle w:val="50"/>
        <w:shd w:val="clear" w:color="auto" w:fill="auto"/>
        <w:rPr>
          <w:i/>
        </w:rPr>
      </w:pPr>
      <w:bookmarkStart w:id="4" w:name="bookmark3"/>
      <w:r w:rsidRPr="00A16EEF">
        <w:rPr>
          <w:i/>
          <w:sz w:val="14"/>
          <w:szCs w:val="14"/>
          <w:vertAlign w:val="superscript"/>
          <w:lang w:bidi="ru-RU"/>
        </w:rPr>
        <w:t>b</w:t>
      </w:r>
      <w:bookmarkEnd w:id="4"/>
      <w:r w:rsidRPr="00A16EEF">
        <w:rPr>
          <w:i/>
          <w:sz w:val="14"/>
          <w:szCs w:val="14"/>
          <w:lang w:bidi="ru-RU"/>
        </w:rPr>
        <w:t xml:space="preserve"> </w:t>
      </w:r>
      <w:r w:rsidRPr="00A16EEF">
        <w:rPr>
          <w:i/>
          <w:lang w:bidi="ru-RU"/>
        </w:rPr>
        <w:t>Медицинский факультет Сеульского Национального университетского медицинского колледжа, Сеул, Южная Корея</w:t>
      </w:r>
    </w:p>
    <w:p w14:paraId="4F39FDA6" w14:textId="77777777" w:rsidR="008E0119" w:rsidRPr="00A16EEF" w:rsidRDefault="00D8072A">
      <w:pPr>
        <w:pStyle w:val="50"/>
        <w:shd w:val="clear" w:color="auto" w:fill="auto"/>
        <w:rPr>
          <w:i/>
        </w:rPr>
      </w:pPr>
      <w:bookmarkStart w:id="5" w:name="bookmark4"/>
      <w:bookmarkStart w:id="6" w:name="bookmark5"/>
      <w:r w:rsidRPr="00A16EEF">
        <w:rPr>
          <w:i/>
          <w:sz w:val="14"/>
          <w:szCs w:val="14"/>
          <w:vertAlign w:val="superscript"/>
          <w:lang w:bidi="ru-RU"/>
        </w:rPr>
        <w:t>с</w:t>
      </w:r>
      <w:bookmarkEnd w:id="5"/>
      <w:r w:rsidRPr="00A16EEF">
        <w:rPr>
          <w:i/>
          <w:sz w:val="14"/>
          <w:szCs w:val="14"/>
          <w:lang w:bidi="ru-RU"/>
        </w:rPr>
        <w:t xml:space="preserve"> </w:t>
      </w:r>
      <w:r w:rsidRPr="00A16EEF">
        <w:rPr>
          <w:i/>
          <w:lang w:bidi="ru-RU"/>
        </w:rPr>
        <w:t>Кафедра семейной медицины Сеульского Национального университета, Центр здравоохранения, Сеул, Южная Корея</w:t>
      </w:r>
      <w:bookmarkEnd w:id="6"/>
    </w:p>
    <w:p w14:paraId="4F39FDA7" w14:textId="77777777" w:rsidR="008E0119" w:rsidRPr="00A16EEF" w:rsidRDefault="00D8072A">
      <w:pPr>
        <w:pStyle w:val="50"/>
        <w:shd w:val="clear" w:color="auto" w:fill="auto"/>
        <w:spacing w:line="271" w:lineRule="auto"/>
        <w:rPr>
          <w:i/>
        </w:rPr>
      </w:pPr>
      <w:r w:rsidRPr="00A16EEF">
        <w:rPr>
          <w:i/>
          <w:sz w:val="14"/>
          <w:szCs w:val="14"/>
          <w:vertAlign w:val="superscript"/>
          <w:lang w:bidi="ru-RU"/>
        </w:rPr>
        <w:t>d</w:t>
      </w:r>
      <w:r w:rsidRPr="00A16EEF">
        <w:rPr>
          <w:i/>
          <w:sz w:val="14"/>
          <w:szCs w:val="14"/>
          <w:lang w:bidi="ru-RU"/>
        </w:rPr>
        <w:t xml:space="preserve"> </w:t>
      </w:r>
      <w:r w:rsidRPr="00A16EEF">
        <w:rPr>
          <w:i/>
          <w:lang w:bidi="ru-RU"/>
        </w:rPr>
        <w:t xml:space="preserve">Кафедра семейной медицины, Сеульская национальная клиническая университетская больница, Сеульский национальный университетский медицинский колледж, 28 Юнкеон-дон, Чонгро-гу, </w:t>
      </w:r>
      <w:bookmarkStart w:id="7" w:name="bookmark6"/>
      <w:r w:rsidRPr="00A16EEF">
        <w:rPr>
          <w:i/>
          <w:lang w:bidi="ru-RU"/>
        </w:rPr>
        <w:t>С</w:t>
      </w:r>
      <w:bookmarkEnd w:id="7"/>
      <w:r w:rsidRPr="00A16EEF">
        <w:rPr>
          <w:i/>
          <w:lang w:bidi="ru-RU"/>
        </w:rPr>
        <w:t>еул 110-744, Южная Корея</w:t>
      </w:r>
    </w:p>
    <w:p w14:paraId="4F39FDA8" w14:textId="2E58F1D0" w:rsidR="008E0119" w:rsidRPr="00A16EEF" w:rsidRDefault="00A16EEF" w:rsidP="00D8072A">
      <w:pPr>
        <w:pStyle w:val="50"/>
        <w:shd w:val="clear" w:color="auto" w:fill="auto"/>
        <w:spacing w:after="100"/>
        <w:rPr>
          <w:i/>
        </w:rPr>
      </w:pPr>
      <w:r w:rsidRPr="00A16EEF">
        <w:rPr>
          <w:i/>
          <w:sz w:val="14"/>
          <w:szCs w:val="14"/>
          <w:vertAlign w:val="superscript"/>
          <w:lang w:val="en-US" w:bidi="ru-RU"/>
        </w:rPr>
        <w:t>e</w:t>
      </w:r>
      <w:r w:rsidR="00D8072A" w:rsidRPr="00A16EEF">
        <w:rPr>
          <w:i/>
          <w:sz w:val="14"/>
          <w:szCs w:val="14"/>
          <w:lang w:bidi="ru-RU"/>
        </w:rPr>
        <w:t xml:space="preserve"> </w:t>
      </w:r>
      <w:r w:rsidR="00D8072A" w:rsidRPr="00A16EEF">
        <w:rPr>
          <w:i/>
          <w:lang w:bidi="ru-RU"/>
        </w:rPr>
        <w:t>Кафедра медико-биологических наук, Сеульский национальный университетский медицинский колледж, 28 Юнкеон-дон, Чонгро-гу, Сеул 110-744, Южная Корея</w:t>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2762"/>
        <w:gridCol w:w="579"/>
        <w:gridCol w:w="7231"/>
      </w:tblGrid>
      <w:tr w:rsidR="008E0119" w:rsidRPr="00A16EEF" w14:paraId="4F39FDAC" w14:textId="77777777" w:rsidTr="00D8072A">
        <w:trPr>
          <w:trHeight w:val="446"/>
        </w:trPr>
        <w:tc>
          <w:tcPr>
            <w:tcW w:w="1306" w:type="pct"/>
            <w:shd w:val="clear" w:color="auto" w:fill="FFFFFF"/>
            <w:vAlign w:val="center"/>
          </w:tcPr>
          <w:p w14:paraId="4F39FDA9" w14:textId="77777777" w:rsidR="008E0119" w:rsidRPr="00A16EEF" w:rsidRDefault="00D8072A" w:rsidP="00D8072A">
            <w:pPr>
              <w:pStyle w:val="a6"/>
              <w:shd w:val="clear" w:color="auto" w:fill="auto"/>
              <w:ind w:firstLine="0"/>
            </w:pPr>
            <w:r w:rsidRPr="00A16EEF">
              <w:rPr>
                <w:lang w:bidi="ru-RU"/>
              </w:rPr>
              <w:t>СВЕДЕНИЯ О СТАТЬЕ</w:t>
            </w:r>
          </w:p>
        </w:tc>
        <w:tc>
          <w:tcPr>
            <w:tcW w:w="274" w:type="pct"/>
            <w:shd w:val="clear" w:color="auto" w:fill="FFFFFF"/>
            <w:vAlign w:val="center"/>
          </w:tcPr>
          <w:p w14:paraId="4F39FDAA" w14:textId="77777777" w:rsidR="008E0119" w:rsidRPr="00A16EEF" w:rsidRDefault="008E0119" w:rsidP="00D8072A">
            <w:pPr>
              <w:rPr>
                <w:rFonts w:ascii="Times New Roman" w:hAnsi="Times New Roman" w:cs="Times New Roman"/>
                <w:sz w:val="10"/>
                <w:szCs w:val="10"/>
              </w:rPr>
            </w:pPr>
          </w:p>
        </w:tc>
        <w:tc>
          <w:tcPr>
            <w:tcW w:w="3420" w:type="pct"/>
            <w:shd w:val="clear" w:color="auto" w:fill="FFFFFF"/>
            <w:vAlign w:val="center"/>
          </w:tcPr>
          <w:p w14:paraId="4F39FDAB" w14:textId="77777777" w:rsidR="008E0119" w:rsidRPr="00A16EEF" w:rsidRDefault="00D8072A" w:rsidP="00D8072A">
            <w:pPr>
              <w:pStyle w:val="a6"/>
              <w:shd w:val="clear" w:color="auto" w:fill="auto"/>
              <w:ind w:firstLine="0"/>
            </w:pPr>
            <w:r w:rsidRPr="00A16EEF">
              <w:rPr>
                <w:lang w:bidi="ru-RU"/>
              </w:rPr>
              <w:t>АННОТАЦИЯ</w:t>
            </w:r>
          </w:p>
        </w:tc>
      </w:tr>
      <w:tr w:rsidR="008E0119" w:rsidRPr="00A16EEF" w14:paraId="4F39FDB8" w14:textId="77777777" w:rsidTr="00D8072A">
        <w:trPr>
          <w:trHeight w:val="1234"/>
        </w:trPr>
        <w:tc>
          <w:tcPr>
            <w:tcW w:w="1306" w:type="pct"/>
            <w:tcBorders>
              <w:top w:val="single" w:sz="4" w:space="0" w:color="auto"/>
            </w:tcBorders>
            <w:shd w:val="clear" w:color="auto" w:fill="FFFFFF"/>
          </w:tcPr>
          <w:p w14:paraId="4F39FDAD" w14:textId="77777777" w:rsidR="008E0119" w:rsidRPr="00A16EEF" w:rsidRDefault="00D8072A" w:rsidP="00D8072A">
            <w:pPr>
              <w:pStyle w:val="a6"/>
              <w:shd w:val="clear" w:color="auto" w:fill="auto"/>
              <w:ind w:firstLine="0"/>
              <w:rPr>
                <w:b/>
                <w:sz w:val="12"/>
                <w:szCs w:val="12"/>
              </w:rPr>
            </w:pPr>
            <w:r w:rsidRPr="00A16EEF">
              <w:rPr>
                <w:rFonts w:eastAsia="Segoe UI"/>
                <w:b/>
                <w:sz w:val="12"/>
                <w:szCs w:val="12"/>
                <w:lang w:bidi="ru-RU"/>
              </w:rPr>
              <w:t>История публикации:</w:t>
            </w:r>
          </w:p>
          <w:p w14:paraId="4F39FDAE"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Поступила в редакцию 16 января 2013 г.</w:t>
            </w:r>
          </w:p>
          <w:p w14:paraId="4F39FDAF"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 xml:space="preserve">Поступила после правки </w:t>
            </w:r>
            <w:r w:rsidRPr="00A16EEF">
              <w:rPr>
                <w:rFonts w:eastAsia="Segoe UI"/>
                <w:sz w:val="14"/>
                <w:szCs w:val="14"/>
                <w:lang w:bidi="ru-RU"/>
              </w:rPr>
              <w:br/>
              <w:t>8 июня 2013 г.</w:t>
            </w:r>
          </w:p>
          <w:p w14:paraId="4F39FDB0"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Принята в печать 30 июня 2013 г.</w:t>
            </w:r>
          </w:p>
          <w:p w14:paraId="4F39FDB1"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Опубликована онлайн 12 июля 2013 г.</w:t>
            </w:r>
          </w:p>
        </w:tc>
        <w:tc>
          <w:tcPr>
            <w:tcW w:w="274" w:type="pct"/>
            <w:shd w:val="clear" w:color="auto" w:fill="FFFFFF"/>
            <w:vAlign w:val="center"/>
          </w:tcPr>
          <w:p w14:paraId="4F39FDB2" w14:textId="77777777" w:rsidR="008E0119" w:rsidRPr="00A16EEF" w:rsidRDefault="008E0119" w:rsidP="00D8072A">
            <w:pPr>
              <w:rPr>
                <w:rFonts w:ascii="Times New Roman" w:hAnsi="Times New Roman" w:cs="Times New Roman"/>
                <w:sz w:val="10"/>
                <w:szCs w:val="10"/>
              </w:rPr>
            </w:pPr>
          </w:p>
        </w:tc>
        <w:tc>
          <w:tcPr>
            <w:tcW w:w="3420" w:type="pct"/>
            <w:vMerge w:val="restart"/>
            <w:tcBorders>
              <w:top w:val="single" w:sz="4" w:space="0" w:color="auto"/>
            </w:tcBorders>
            <w:shd w:val="clear" w:color="auto" w:fill="FFFFFF"/>
            <w:vAlign w:val="center"/>
          </w:tcPr>
          <w:p w14:paraId="4F39FDB3" w14:textId="77777777" w:rsidR="008E0119" w:rsidRPr="00A16EEF" w:rsidRDefault="00D8072A" w:rsidP="00D8072A">
            <w:pPr>
              <w:pStyle w:val="a6"/>
              <w:shd w:val="clear" w:color="auto" w:fill="auto"/>
              <w:ind w:firstLine="0"/>
              <w:jc w:val="both"/>
              <w:rPr>
                <w:sz w:val="16"/>
                <w:szCs w:val="16"/>
              </w:rPr>
            </w:pPr>
            <w:r w:rsidRPr="00A16EEF">
              <w:rPr>
                <w:sz w:val="16"/>
                <w:szCs w:val="16"/>
                <w:lang w:bidi="ru-RU"/>
              </w:rPr>
              <w:t>Цель: Недостаточное потребление калия может быть связано с метаболическим синдромом и его компонентами, но на сегодняшний собрано недостаточно данных по этому вопросу. Мы оценили связь между уровнем потребления калия и метаболическим синдромом в общей популяции.</w:t>
            </w:r>
          </w:p>
          <w:p w14:paraId="4F39FDB4" w14:textId="77777777" w:rsidR="008E0119" w:rsidRPr="00A16EEF" w:rsidRDefault="00D8072A" w:rsidP="00D8072A">
            <w:pPr>
              <w:pStyle w:val="a6"/>
              <w:shd w:val="clear" w:color="auto" w:fill="auto"/>
              <w:ind w:firstLine="0"/>
              <w:jc w:val="both"/>
              <w:rPr>
                <w:sz w:val="16"/>
                <w:szCs w:val="16"/>
              </w:rPr>
            </w:pPr>
            <w:r w:rsidRPr="00A16EEF">
              <w:rPr>
                <w:i/>
                <w:sz w:val="16"/>
                <w:szCs w:val="16"/>
                <w:lang w:bidi="ru-RU"/>
              </w:rPr>
              <w:t>Методы:</w:t>
            </w:r>
            <w:r w:rsidRPr="00A16EEF">
              <w:rPr>
                <w:sz w:val="16"/>
                <w:szCs w:val="16"/>
                <w:lang w:bidi="ru-RU"/>
              </w:rPr>
              <w:t xml:space="preserve"> В анализ были включены данные 7542 взрослых (в возрасте </w:t>
            </w:r>
            <w:r w:rsidRPr="00A16EEF">
              <w:rPr>
                <w:rFonts w:eastAsia="Arial"/>
                <w:lang w:bidi="ru-RU"/>
              </w:rPr>
              <w:t>≥</w:t>
            </w:r>
            <w:r w:rsidRPr="00A16EEF">
              <w:rPr>
                <w:sz w:val="16"/>
                <w:szCs w:val="16"/>
                <w:lang w:bidi="ru-RU"/>
              </w:rPr>
              <w:t> 20 лет) из четвертой Корейской Национальной программы оценки здоровья и питания (2007–2009 гг.), кросс-секционного исследования репрезентативной национальной выборки населения Кореи. Были использованы данные, полученные с помощью стандартизированных опросников, данные физикального обследования и результаты лабораторных анализов. Оценку уровня потребления калия с пищей проводили на основании опроса участников о рационе питания за прошедшие сутки.  Метаболический синдром диагностир</w:t>
            </w:r>
            <w:r w:rsidRPr="00A16EEF">
              <w:rPr>
                <w:rFonts w:eastAsia="Arial"/>
                <w:sz w:val="13"/>
                <w:szCs w:val="13"/>
                <w:lang w:bidi="ru-RU"/>
              </w:rPr>
              <w:t>ов</w:t>
            </w:r>
            <w:r w:rsidRPr="00A16EEF">
              <w:rPr>
                <w:sz w:val="16"/>
                <w:szCs w:val="16"/>
                <w:lang w:bidi="ru-RU"/>
              </w:rPr>
              <w:t>али на основании модифицир</w:t>
            </w:r>
            <w:r w:rsidRPr="00A16EEF">
              <w:rPr>
                <w:rFonts w:eastAsia="Arial"/>
                <w:sz w:val="13"/>
                <w:szCs w:val="13"/>
                <w:lang w:bidi="ru-RU"/>
              </w:rPr>
              <w:t>ов</w:t>
            </w:r>
            <w:r w:rsidRPr="00A16EEF">
              <w:rPr>
                <w:sz w:val="16"/>
                <w:szCs w:val="16"/>
                <w:lang w:bidi="ru-RU"/>
              </w:rPr>
              <w:t>анных критериев, представленных в III докладе группы экспертов по лечению взрослых Национальной образовательной программы по холестерину. Для оценки шансов развития метаболического синдрома и его компонентов по квартилям уровня потребления калия использовали многофакторный логистический регрессионный анализ.</w:t>
            </w:r>
          </w:p>
          <w:p w14:paraId="4F39FDB5" w14:textId="77777777" w:rsidR="008E0119" w:rsidRPr="00A16EEF" w:rsidRDefault="00D8072A" w:rsidP="00D8072A">
            <w:pPr>
              <w:pStyle w:val="a6"/>
              <w:shd w:val="clear" w:color="auto" w:fill="auto"/>
              <w:ind w:firstLine="0"/>
              <w:jc w:val="both"/>
              <w:rPr>
                <w:sz w:val="16"/>
                <w:szCs w:val="16"/>
              </w:rPr>
            </w:pPr>
            <w:r w:rsidRPr="00A16EEF">
              <w:rPr>
                <w:i/>
                <w:sz w:val="16"/>
                <w:szCs w:val="16"/>
                <w:lang w:bidi="ru-RU"/>
              </w:rPr>
              <w:t>Результаты:</w:t>
            </w:r>
            <w:r w:rsidRPr="00A16EEF">
              <w:rPr>
                <w:sz w:val="16"/>
                <w:szCs w:val="16"/>
                <w:lang w:bidi="ru-RU"/>
              </w:rPr>
              <w:t xml:space="preserve"> После коррекции с учетом различных искажающих факторов, связанных с  образом жизни и рационом, у лиц в верхнем квартиле уровня потребления калия шансы развития метаболического синдрома были на 39 % ниже, чем у лиц в нижнем квартиле (скорректированное отношение шансов [ОШ</w:t>
            </w:r>
            <w:r w:rsidRPr="00A16EEF">
              <w:rPr>
                <w:sz w:val="16"/>
                <w:szCs w:val="16"/>
                <w:vertAlign w:val="subscript"/>
                <w:lang w:bidi="ru-RU"/>
              </w:rPr>
              <w:t>корр</w:t>
            </w:r>
            <w:r w:rsidRPr="00A16EEF">
              <w:rPr>
                <w:sz w:val="16"/>
                <w:szCs w:val="16"/>
                <w:lang w:bidi="ru-RU"/>
              </w:rPr>
              <w:t>] </w:t>
            </w:r>
            <w:r w:rsidRPr="00A16EEF">
              <w:rPr>
                <w:rFonts w:eastAsia="Arial"/>
                <w:lang w:bidi="ru-RU"/>
              </w:rPr>
              <w:t xml:space="preserve">= </w:t>
            </w:r>
            <w:r w:rsidRPr="00A16EEF">
              <w:rPr>
                <w:sz w:val="16"/>
                <w:szCs w:val="16"/>
                <w:lang w:bidi="ru-RU"/>
              </w:rPr>
              <w:t>0,61; 95 % доверител</w:t>
            </w:r>
            <w:r w:rsidRPr="00A16EEF">
              <w:rPr>
                <w:rFonts w:eastAsia="Arial"/>
                <w:sz w:val="13"/>
                <w:szCs w:val="13"/>
                <w:lang w:bidi="ru-RU"/>
              </w:rPr>
              <w:t>ьн</w:t>
            </w:r>
            <w:r w:rsidRPr="00A16EEF">
              <w:rPr>
                <w:sz w:val="16"/>
                <w:szCs w:val="16"/>
                <w:lang w:bidi="ru-RU"/>
              </w:rPr>
              <w:t xml:space="preserve">ый интервал [ДИ]: 0,42–0,89; </w:t>
            </w:r>
            <w:r w:rsidRPr="00A16EEF">
              <w:rPr>
                <w:i/>
                <w:sz w:val="16"/>
                <w:szCs w:val="16"/>
                <w:lang w:bidi="ru-RU"/>
              </w:rPr>
              <w:t>p</w:t>
            </w:r>
            <w:r w:rsidRPr="00A16EEF">
              <w:rPr>
                <w:sz w:val="16"/>
                <w:szCs w:val="16"/>
                <w:lang w:bidi="ru-RU"/>
              </w:rPr>
              <w:t>-значение для тенденции: 0,013). Эта зависимость в равной мере прослеживалась как среди мужчин, так и среди женщин. По данным многофакторного анализа компонентов метаболического синдрома была выявлена обратная зависимость между уровнем потребления калия и абдоминальным ожирением и гипергликемией натощак (</w:t>
            </w:r>
            <w:r w:rsidRPr="00A16EEF">
              <w:rPr>
                <w:i/>
                <w:sz w:val="16"/>
                <w:szCs w:val="16"/>
                <w:lang w:bidi="ru-RU"/>
              </w:rPr>
              <w:t>p</w:t>
            </w:r>
            <w:r w:rsidRPr="00A16EEF">
              <w:rPr>
                <w:sz w:val="16"/>
                <w:szCs w:val="16"/>
                <w:lang w:bidi="ru-RU"/>
              </w:rPr>
              <w:t>-значение</w:t>
            </w:r>
            <w:r w:rsidRPr="00A16EEF">
              <w:rPr>
                <w:i/>
                <w:sz w:val="16"/>
                <w:szCs w:val="16"/>
                <w:lang w:bidi="ru-RU"/>
              </w:rPr>
              <w:t xml:space="preserve"> </w:t>
            </w:r>
            <w:r w:rsidRPr="00A16EEF">
              <w:rPr>
                <w:sz w:val="16"/>
                <w:szCs w:val="16"/>
                <w:lang w:bidi="ru-RU"/>
              </w:rPr>
              <w:t>для тенденции </w:t>
            </w:r>
            <w:r w:rsidRPr="00A16EEF">
              <w:rPr>
                <w:rFonts w:eastAsia="Arial"/>
                <w:lang w:bidi="ru-RU"/>
              </w:rPr>
              <w:t xml:space="preserve">= </w:t>
            </w:r>
            <w:r w:rsidRPr="00A16EEF">
              <w:rPr>
                <w:sz w:val="16"/>
                <w:szCs w:val="16"/>
                <w:lang w:bidi="ru-RU"/>
              </w:rPr>
              <w:t>0,049 и 0,010, соответственно).</w:t>
            </w:r>
          </w:p>
          <w:p w14:paraId="4F39FDB6" w14:textId="77777777" w:rsidR="008E0119" w:rsidRPr="00A16EEF" w:rsidRDefault="00D8072A" w:rsidP="00D8072A">
            <w:pPr>
              <w:pStyle w:val="a6"/>
              <w:shd w:val="clear" w:color="auto" w:fill="auto"/>
              <w:ind w:firstLine="0"/>
              <w:jc w:val="both"/>
              <w:rPr>
                <w:sz w:val="16"/>
                <w:szCs w:val="16"/>
              </w:rPr>
            </w:pPr>
            <w:r w:rsidRPr="00A16EEF">
              <w:rPr>
                <w:i/>
                <w:sz w:val="16"/>
                <w:szCs w:val="16"/>
                <w:lang w:bidi="ru-RU"/>
              </w:rPr>
              <w:t>Заключение:</w:t>
            </w:r>
            <w:r w:rsidRPr="00A16EEF">
              <w:rPr>
                <w:sz w:val="16"/>
                <w:szCs w:val="16"/>
                <w:lang w:bidi="ru-RU"/>
              </w:rPr>
              <w:t xml:space="preserve"> Полученные нами результаты выявили знач</w:t>
            </w:r>
            <w:r w:rsidRPr="00A16EEF">
              <w:rPr>
                <w:rFonts w:eastAsia="Arial"/>
                <w:sz w:val="13"/>
                <w:szCs w:val="13"/>
                <w:lang w:bidi="ru-RU"/>
              </w:rPr>
              <w:t>им</w:t>
            </w:r>
            <w:r w:rsidRPr="00A16EEF">
              <w:rPr>
                <w:sz w:val="16"/>
                <w:szCs w:val="16"/>
                <w:lang w:bidi="ru-RU"/>
              </w:rPr>
              <w:t>ую обратную зависимость между уровнем потребления калия и метаболическим синдромом у взрослых. Для подтвержд</w:t>
            </w:r>
            <w:r w:rsidRPr="00A16EEF">
              <w:rPr>
                <w:rFonts w:eastAsia="Arial"/>
                <w:sz w:val="13"/>
                <w:szCs w:val="13"/>
                <w:lang w:bidi="ru-RU"/>
              </w:rPr>
              <w:t>ен</w:t>
            </w:r>
            <w:r w:rsidRPr="00A16EEF">
              <w:rPr>
                <w:sz w:val="16"/>
                <w:szCs w:val="16"/>
                <w:lang w:bidi="ru-RU"/>
              </w:rPr>
              <w:t>ия этой зависимости требуются дальнейшие исследования.</w:t>
            </w:r>
          </w:p>
          <w:p w14:paraId="4F39FDB7" w14:textId="77777777" w:rsidR="008E0119" w:rsidRPr="00A16EEF" w:rsidRDefault="00D8072A" w:rsidP="00D8072A">
            <w:pPr>
              <w:pStyle w:val="a6"/>
              <w:shd w:val="clear" w:color="auto" w:fill="auto"/>
              <w:ind w:firstLine="0"/>
              <w:jc w:val="right"/>
              <w:rPr>
                <w:sz w:val="16"/>
                <w:szCs w:val="16"/>
              </w:rPr>
            </w:pPr>
            <w:r w:rsidRPr="00A16EEF">
              <w:rPr>
                <w:rFonts w:eastAsia="Arial"/>
                <w:sz w:val="13"/>
                <w:szCs w:val="13"/>
                <w:lang w:bidi="ru-RU"/>
              </w:rPr>
              <w:t xml:space="preserve">© </w:t>
            </w:r>
            <w:r w:rsidRPr="00A16EEF">
              <w:rPr>
                <w:sz w:val="16"/>
                <w:szCs w:val="16"/>
                <w:lang w:bidi="ru-RU"/>
              </w:rPr>
              <w:t>2013 Elsevier Ireland Ltd. Все права защищены.</w:t>
            </w:r>
          </w:p>
        </w:tc>
      </w:tr>
      <w:tr w:rsidR="008E0119" w:rsidRPr="00A16EEF" w14:paraId="4F39FDC2" w14:textId="77777777" w:rsidTr="00D8072A">
        <w:trPr>
          <w:trHeight w:val="2187"/>
        </w:trPr>
        <w:tc>
          <w:tcPr>
            <w:tcW w:w="1306" w:type="pct"/>
            <w:tcBorders>
              <w:top w:val="single" w:sz="4" w:space="0" w:color="auto"/>
              <w:bottom w:val="single" w:sz="4" w:space="0" w:color="auto"/>
            </w:tcBorders>
            <w:shd w:val="clear" w:color="auto" w:fill="FFFFFF"/>
          </w:tcPr>
          <w:p w14:paraId="4F39FDB9" w14:textId="77777777" w:rsidR="008E0119" w:rsidRPr="00A16EEF" w:rsidRDefault="00D8072A" w:rsidP="00D8072A">
            <w:pPr>
              <w:pStyle w:val="a6"/>
              <w:shd w:val="clear" w:color="auto" w:fill="auto"/>
              <w:ind w:firstLine="0"/>
              <w:rPr>
                <w:sz w:val="12"/>
                <w:szCs w:val="12"/>
              </w:rPr>
            </w:pPr>
            <w:r w:rsidRPr="00A16EEF">
              <w:rPr>
                <w:rFonts w:eastAsia="Segoe UI"/>
                <w:sz w:val="12"/>
                <w:szCs w:val="12"/>
                <w:lang w:bidi="ru-RU"/>
              </w:rPr>
              <w:t>Ключевые слова:</w:t>
            </w:r>
          </w:p>
          <w:p w14:paraId="4F39FDBA"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Калий</w:t>
            </w:r>
          </w:p>
          <w:p w14:paraId="4F39FDBB"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Питание</w:t>
            </w:r>
          </w:p>
          <w:p w14:paraId="4F39FDBC"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Метаболический синдром</w:t>
            </w:r>
          </w:p>
          <w:p w14:paraId="4F39FDBD"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Артериальная гипертензия</w:t>
            </w:r>
          </w:p>
          <w:p w14:paraId="4F39FDBE"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Сахарный диабет</w:t>
            </w:r>
          </w:p>
          <w:p w14:paraId="4F39FDBF" w14:textId="77777777" w:rsidR="008E0119" w:rsidRPr="00A16EEF" w:rsidRDefault="00D8072A" w:rsidP="00D8072A">
            <w:pPr>
              <w:pStyle w:val="a6"/>
              <w:shd w:val="clear" w:color="auto" w:fill="auto"/>
              <w:ind w:firstLine="0"/>
              <w:rPr>
                <w:sz w:val="14"/>
                <w:szCs w:val="14"/>
              </w:rPr>
            </w:pPr>
            <w:r w:rsidRPr="00A16EEF">
              <w:rPr>
                <w:rFonts w:eastAsia="Segoe UI"/>
                <w:sz w:val="14"/>
                <w:szCs w:val="14"/>
                <w:lang w:bidi="ru-RU"/>
              </w:rPr>
              <w:t>Ожирение</w:t>
            </w:r>
          </w:p>
        </w:tc>
        <w:tc>
          <w:tcPr>
            <w:tcW w:w="274" w:type="pct"/>
            <w:tcBorders>
              <w:bottom w:val="single" w:sz="4" w:space="0" w:color="auto"/>
            </w:tcBorders>
            <w:shd w:val="clear" w:color="auto" w:fill="FFFFFF"/>
            <w:vAlign w:val="center"/>
          </w:tcPr>
          <w:p w14:paraId="4F39FDC0" w14:textId="77777777" w:rsidR="008E0119" w:rsidRPr="00A16EEF" w:rsidRDefault="008E0119" w:rsidP="00D8072A">
            <w:pPr>
              <w:rPr>
                <w:rFonts w:ascii="Times New Roman" w:hAnsi="Times New Roman" w:cs="Times New Roman"/>
                <w:sz w:val="10"/>
                <w:szCs w:val="10"/>
              </w:rPr>
            </w:pPr>
          </w:p>
        </w:tc>
        <w:tc>
          <w:tcPr>
            <w:tcW w:w="3420" w:type="pct"/>
            <w:vMerge/>
            <w:tcBorders>
              <w:bottom w:val="single" w:sz="4" w:space="0" w:color="auto"/>
            </w:tcBorders>
            <w:shd w:val="clear" w:color="auto" w:fill="FFFFFF"/>
            <w:vAlign w:val="center"/>
          </w:tcPr>
          <w:p w14:paraId="4F39FDC1" w14:textId="77777777" w:rsidR="008E0119" w:rsidRPr="00A16EEF" w:rsidRDefault="008E0119" w:rsidP="00D8072A">
            <w:pPr>
              <w:rPr>
                <w:rFonts w:ascii="Times New Roman" w:hAnsi="Times New Roman" w:cs="Times New Roman"/>
              </w:rPr>
            </w:pPr>
          </w:p>
        </w:tc>
      </w:tr>
    </w:tbl>
    <w:p w14:paraId="4F39FDC3" w14:textId="77777777" w:rsidR="008E0119" w:rsidRPr="004005C2" w:rsidRDefault="00D8072A" w:rsidP="00D8072A">
      <w:pPr>
        <w:pStyle w:val="20"/>
        <w:keepNext/>
        <w:keepLines/>
        <w:numPr>
          <w:ilvl w:val="0"/>
          <w:numId w:val="1"/>
        </w:numPr>
        <w:shd w:val="clear" w:color="auto" w:fill="auto"/>
        <w:tabs>
          <w:tab w:val="left" w:pos="265"/>
        </w:tabs>
        <w:spacing w:before="360" w:after="120"/>
        <w:rPr>
          <w:rFonts w:ascii="Times New Roman" w:hAnsi="Times New Roman" w:cs="Times New Roman"/>
          <w:b/>
          <w:sz w:val="20"/>
          <w:szCs w:val="20"/>
        </w:rPr>
      </w:pPr>
      <w:r w:rsidRPr="00A16EEF">
        <w:rPr>
          <w:rFonts w:ascii="Times New Roman" w:hAnsi="Times New Roman" w:cs="Times New Roman"/>
          <w:b/>
          <w:lang w:bidi="ru-RU"/>
        </w:rPr>
        <w:t xml:space="preserve"> </w:t>
      </w:r>
      <w:bookmarkStart w:id="8" w:name="bookmark8"/>
      <w:bookmarkStart w:id="9" w:name="bookmark9"/>
      <w:r w:rsidRPr="004005C2">
        <w:rPr>
          <w:rFonts w:ascii="Times New Roman" w:hAnsi="Times New Roman" w:cs="Times New Roman"/>
          <w:b/>
          <w:sz w:val="20"/>
          <w:szCs w:val="20"/>
          <w:lang w:bidi="ru-RU"/>
        </w:rPr>
        <w:t>Введение</w:t>
      </w:r>
      <w:bookmarkEnd w:id="8"/>
      <w:bookmarkEnd w:id="9"/>
    </w:p>
    <w:p w14:paraId="4F39FDC4" w14:textId="5330C108" w:rsidR="00D8072A" w:rsidRPr="004005C2" w:rsidRDefault="00D8072A" w:rsidP="00D8072A">
      <w:pPr>
        <w:pStyle w:val="1"/>
        <w:shd w:val="clear" w:color="auto" w:fill="auto"/>
        <w:ind w:firstLine="284"/>
        <w:jc w:val="both"/>
        <w:rPr>
          <w:sz w:val="20"/>
          <w:szCs w:val="20"/>
        </w:rPr>
      </w:pPr>
      <w:r w:rsidRPr="004005C2">
        <w:rPr>
          <w:sz w:val="20"/>
          <w:szCs w:val="20"/>
          <w:lang w:bidi="ru-RU"/>
        </w:rPr>
        <w:t xml:space="preserve">Метаболический синдром представляет собой комбинацию нескольких метаболических факторов риска, а именно: инсулинорезистентности, центрального ожирения, дислипидемии и артериальной гипертензии </w:t>
      </w:r>
      <w:hyperlink w:anchor="bookmark65" w:tooltip="Текущий документ">
        <w:r w:rsidRPr="004005C2">
          <w:rPr>
            <w:color w:val="000066"/>
            <w:sz w:val="20"/>
            <w:szCs w:val="20"/>
            <w:lang w:bidi="ru-RU"/>
          </w:rPr>
          <w:t>[1]</w:t>
        </w:r>
      </w:hyperlink>
      <w:r w:rsidRPr="004005C2">
        <w:rPr>
          <w:sz w:val="20"/>
          <w:szCs w:val="20"/>
          <w:lang w:bidi="ru-RU"/>
        </w:rPr>
        <w:t xml:space="preserve">. В последние несколько лет метаболическому синдрому уделяют повышенное внимание , так как его распространенность и социально-экономическое бремя растет во всем мире, включая Южную Корею </w:t>
      </w:r>
      <w:hyperlink w:anchor="bookmark68" w:tooltip="Текущий документ">
        <w:r w:rsidRPr="004005C2">
          <w:rPr>
            <w:color w:val="000066"/>
            <w:sz w:val="20"/>
            <w:szCs w:val="20"/>
            <w:lang w:bidi="ru-RU"/>
          </w:rPr>
          <w:t>[2]</w:t>
        </w:r>
      </w:hyperlink>
      <w:r w:rsidRPr="004005C2">
        <w:rPr>
          <w:sz w:val="20"/>
          <w:szCs w:val="20"/>
          <w:lang w:bidi="ru-RU"/>
        </w:rPr>
        <w:t xml:space="preserve">. Поэтому проводятся многочисленные исследования, направленные на изучение его причин.  Питание является одним из основных факторов окружающей среды, имеющим этиологические значение при метаболическом синдроме, поэтому изучалось влияние тех или иных продуктов питания, нутриентов и электролитов на развитие этого синдрома.  </w:t>
      </w:r>
    </w:p>
    <w:p w14:paraId="4F39FDCA" w14:textId="7C57E270" w:rsidR="00E8797D" w:rsidRPr="004005C2" w:rsidRDefault="00D8072A" w:rsidP="000D7E97">
      <w:pPr>
        <w:pStyle w:val="1"/>
        <w:shd w:val="clear" w:color="auto" w:fill="auto"/>
        <w:ind w:firstLine="284"/>
        <w:jc w:val="both"/>
        <w:rPr>
          <w:sz w:val="20"/>
          <w:szCs w:val="20"/>
        </w:rPr>
        <w:sectPr w:rsidR="00E8797D" w:rsidRPr="004005C2" w:rsidSect="00E8797D">
          <w:headerReference w:type="even" r:id="rId15"/>
          <w:headerReference w:type="default" r:id="rId16"/>
          <w:footerReference w:type="default" r:id="rId17"/>
          <w:pgSz w:w="12240" w:h="16834"/>
          <w:pgMar w:top="1134" w:right="851" w:bottom="709" w:left="851" w:header="567" w:footer="357" w:gutter="0"/>
          <w:cols w:space="720"/>
          <w:noEndnote/>
          <w:docGrid w:linePitch="360"/>
        </w:sectPr>
      </w:pPr>
      <w:r w:rsidRPr="004005C2">
        <w:rPr>
          <w:sz w:val="20"/>
          <w:szCs w:val="20"/>
          <w:lang w:bidi="ru-RU"/>
        </w:rPr>
        <w:t xml:space="preserve">Калий — наиболее распространенный внутриклеточный катионный электролит, который необходим для нормального функционирования клеток. Он также участвует в синтезе белков и метаболизме углеводов </w:t>
      </w:r>
      <w:hyperlink w:anchor="bookmark69" w:tooltip="Текущий документ">
        <w:r w:rsidRPr="004005C2">
          <w:rPr>
            <w:color w:val="000066"/>
            <w:sz w:val="20"/>
            <w:szCs w:val="20"/>
            <w:lang w:bidi="ru-RU"/>
          </w:rPr>
          <w:t>[3,4]</w:t>
        </w:r>
      </w:hyperlink>
      <w:r w:rsidRPr="004005C2">
        <w:rPr>
          <w:sz w:val="20"/>
          <w:szCs w:val="20"/>
          <w:lang w:bidi="ru-RU"/>
        </w:rPr>
        <w:t>. Поскольку калий быстро выводится с мочой и не сохраняется в организме, человек должен постоянно потреблять калий в достаточном количестве. Тем не менее, среднее потребление калия населением США и Кореи в 2009</w:t>
      </w:r>
      <w:r w:rsidRPr="004005C2">
        <w:rPr>
          <w:rFonts w:eastAsia="Arial"/>
          <w:sz w:val="20"/>
          <w:szCs w:val="20"/>
          <w:lang w:bidi="ru-RU"/>
        </w:rPr>
        <w:t>–</w:t>
      </w:r>
      <w:r w:rsidRPr="004005C2">
        <w:rPr>
          <w:sz w:val="20"/>
          <w:szCs w:val="20"/>
          <w:lang w:bidi="ru-RU"/>
        </w:rPr>
        <w:t xml:space="preserve">2010 гг. достигало всего 54 % и 58 % рекомендуемого количества, соответственно </w:t>
      </w:r>
      <w:hyperlink w:anchor="bookmark70" w:tooltip="Текущий документ">
        <w:r w:rsidRPr="004005C2">
          <w:rPr>
            <w:color w:val="000066"/>
            <w:sz w:val="20"/>
            <w:szCs w:val="20"/>
            <w:lang w:bidi="ru-RU"/>
          </w:rPr>
          <w:t>[5</w:t>
        </w:r>
      </w:hyperlink>
      <w:r w:rsidRPr="004005C2">
        <w:rPr>
          <w:rFonts w:eastAsia="Arial"/>
          <w:color w:val="000066"/>
          <w:sz w:val="20"/>
          <w:szCs w:val="20"/>
          <w:lang w:bidi="ru-RU"/>
        </w:rPr>
        <w:t>-</w:t>
      </w:r>
      <w:hyperlink w:anchor="bookmark70" w:tooltip="Текущий документ">
        <w:r w:rsidRPr="004005C2">
          <w:rPr>
            <w:color w:val="000066"/>
            <w:sz w:val="20"/>
            <w:szCs w:val="20"/>
            <w:lang w:bidi="ru-RU"/>
          </w:rPr>
          <w:t>7]</w:t>
        </w:r>
      </w:hyperlink>
      <w:r w:rsidRPr="004005C2">
        <w:rPr>
          <w:sz w:val="20"/>
          <w:szCs w:val="20"/>
          <w:lang w:bidi="ru-RU"/>
        </w:rPr>
        <w:t xml:space="preserve">. По результатам некоторых исследований, низкий уровень потребления калия связан с высоким артериальным давлением </w:t>
      </w:r>
      <w:hyperlink w:anchor="bookmark71" w:tooltip="Текущий документ">
        <w:r w:rsidRPr="004005C2">
          <w:rPr>
            <w:color w:val="000066"/>
            <w:sz w:val="20"/>
            <w:szCs w:val="20"/>
            <w:lang w:bidi="ru-RU"/>
          </w:rPr>
          <w:t>[8</w:t>
        </w:r>
      </w:hyperlink>
      <w:r w:rsidRPr="004005C2">
        <w:rPr>
          <w:rFonts w:eastAsia="Arial"/>
          <w:color w:val="000066"/>
          <w:sz w:val="20"/>
          <w:szCs w:val="20"/>
          <w:lang w:bidi="ru-RU"/>
        </w:rPr>
        <w:t>-</w:t>
      </w:r>
      <w:hyperlink w:anchor="bookmark71" w:tooltip="Текущий документ">
        <w:r w:rsidRPr="004005C2">
          <w:rPr>
            <w:color w:val="000066"/>
            <w:sz w:val="20"/>
            <w:szCs w:val="20"/>
            <w:lang w:bidi="ru-RU"/>
          </w:rPr>
          <w:t xml:space="preserve">11] </w:t>
        </w:r>
      </w:hyperlink>
      <w:r w:rsidRPr="004005C2">
        <w:rPr>
          <w:sz w:val="20"/>
          <w:szCs w:val="20"/>
          <w:lang w:bidi="ru-RU"/>
        </w:rPr>
        <w:t xml:space="preserve">и риском развития сахарного диабета </w:t>
      </w:r>
      <w:r w:rsidRPr="004005C2">
        <w:rPr>
          <w:color w:val="000066"/>
          <w:sz w:val="20"/>
          <w:szCs w:val="20"/>
          <w:lang w:bidi="ru-RU"/>
        </w:rPr>
        <w:t>[12,13]</w:t>
      </w:r>
      <w:r w:rsidRPr="004005C2">
        <w:rPr>
          <w:sz w:val="20"/>
          <w:szCs w:val="20"/>
          <w:lang w:bidi="ru-RU"/>
        </w:rPr>
        <w:t xml:space="preserve">, хотя эти </w:t>
      </w:r>
    </w:p>
    <w:p w14:paraId="4F39FDCB" w14:textId="011DDB7E" w:rsidR="008E0119" w:rsidRPr="00F22414" w:rsidRDefault="00F22414" w:rsidP="00D8072A">
      <w:pPr>
        <w:pStyle w:val="1"/>
        <w:shd w:val="clear" w:color="auto" w:fill="auto"/>
        <w:ind w:firstLine="0"/>
        <w:jc w:val="both"/>
        <w:rPr>
          <w:sz w:val="20"/>
          <w:szCs w:val="20"/>
        </w:rPr>
      </w:pPr>
      <w:r w:rsidRPr="004005C2">
        <w:rPr>
          <w:sz w:val="20"/>
          <w:szCs w:val="20"/>
          <w:lang w:bidi="ru-RU"/>
        </w:rPr>
        <w:lastRenderedPageBreak/>
        <w:t xml:space="preserve">наблюдения считаются спорными. Кроме того, были получены данные, что у людей, потребляющих больше овощей и фруктов (продукты питания, богатые калием), отмечается более низкий риск развития метаболического синдрома </w:t>
      </w:r>
      <w:r w:rsidRPr="004005C2">
        <w:rPr>
          <w:color w:val="000066"/>
          <w:sz w:val="20"/>
          <w:szCs w:val="20"/>
          <w:lang w:bidi="ru-RU"/>
        </w:rPr>
        <w:t>[14]</w:t>
      </w:r>
      <w:r w:rsidRPr="004005C2">
        <w:rPr>
          <w:sz w:val="20"/>
          <w:szCs w:val="20"/>
          <w:lang w:bidi="ru-RU"/>
        </w:rPr>
        <w:t>. Следовательно, возможно существование связи между потреблением калия и развитием метаболического синдрома. Тем не менее, на сегодняшний день еще не получено достаточно данных в поддержку этой связи в</w:t>
      </w:r>
      <w:r w:rsidRPr="00F22414">
        <w:rPr>
          <w:sz w:val="20"/>
          <w:szCs w:val="20"/>
          <w:lang w:bidi="ru-RU"/>
        </w:rPr>
        <w:t xml:space="preserve"> </w:t>
      </w:r>
      <w:r w:rsidR="00D8072A" w:rsidRPr="00F22414">
        <w:rPr>
          <w:sz w:val="20"/>
          <w:szCs w:val="20"/>
          <w:lang w:bidi="ru-RU"/>
        </w:rPr>
        <w:t>общей популяции. Таким образом, в настоящем кросс-секционном исследовании мы использовали данные участников  четвертой Корейской Национальной программы оценки здоровья и питания 2007</w:t>
      </w:r>
      <w:r w:rsidR="00D8072A" w:rsidRPr="00F22414">
        <w:rPr>
          <w:rFonts w:eastAsia="Arial"/>
          <w:sz w:val="20"/>
          <w:szCs w:val="20"/>
          <w:lang w:bidi="ru-RU"/>
        </w:rPr>
        <w:t>–</w:t>
      </w:r>
      <w:r w:rsidR="00D8072A" w:rsidRPr="00F22414">
        <w:rPr>
          <w:sz w:val="20"/>
          <w:szCs w:val="20"/>
          <w:lang w:bidi="ru-RU"/>
        </w:rPr>
        <w:t>2009 гг. (KNHANES IV) для изучения зависимости между потреблением калия и метаболическим синдромом.</w:t>
      </w:r>
    </w:p>
    <w:p w14:paraId="4F39FDCC" w14:textId="77777777" w:rsidR="00D8072A" w:rsidRPr="00F22414" w:rsidRDefault="00D8072A">
      <w:pPr>
        <w:pStyle w:val="1"/>
        <w:shd w:val="clear" w:color="auto" w:fill="auto"/>
        <w:ind w:firstLine="0"/>
        <w:rPr>
          <w:sz w:val="20"/>
          <w:szCs w:val="20"/>
        </w:rPr>
      </w:pPr>
    </w:p>
    <w:p w14:paraId="4F39FDCD" w14:textId="77777777" w:rsidR="008E0119" w:rsidRPr="00F22414" w:rsidRDefault="00D8072A" w:rsidP="00D8072A">
      <w:pPr>
        <w:pStyle w:val="20"/>
        <w:keepNext/>
        <w:keepLines/>
        <w:numPr>
          <w:ilvl w:val="0"/>
          <w:numId w:val="1"/>
        </w:numPr>
        <w:shd w:val="clear" w:color="auto" w:fill="auto"/>
        <w:tabs>
          <w:tab w:val="left" w:pos="307"/>
        </w:tabs>
        <w:spacing w:after="100"/>
        <w:rPr>
          <w:rFonts w:ascii="Times New Roman" w:hAnsi="Times New Roman" w:cs="Times New Roman"/>
          <w:b/>
          <w:sz w:val="20"/>
          <w:szCs w:val="20"/>
        </w:rPr>
      </w:pPr>
      <w:bookmarkStart w:id="10" w:name="bookmark10"/>
      <w:bookmarkStart w:id="11" w:name="bookmark11"/>
      <w:r w:rsidRPr="00F22414">
        <w:rPr>
          <w:rFonts w:ascii="Times New Roman" w:hAnsi="Times New Roman" w:cs="Times New Roman"/>
          <w:b/>
          <w:sz w:val="20"/>
          <w:szCs w:val="20"/>
          <w:lang w:bidi="ru-RU"/>
        </w:rPr>
        <w:t>Методы</w:t>
      </w:r>
      <w:bookmarkEnd w:id="10"/>
      <w:bookmarkEnd w:id="11"/>
    </w:p>
    <w:p w14:paraId="4F39FDCE" w14:textId="77777777" w:rsidR="008E0119" w:rsidRPr="00F22414" w:rsidRDefault="00D8072A" w:rsidP="00D8072A">
      <w:pPr>
        <w:pStyle w:val="30"/>
        <w:keepNext/>
        <w:keepLines/>
        <w:numPr>
          <w:ilvl w:val="1"/>
          <w:numId w:val="1"/>
        </w:numPr>
        <w:shd w:val="clear" w:color="auto" w:fill="auto"/>
        <w:tabs>
          <w:tab w:val="left" w:pos="375"/>
        </w:tabs>
        <w:spacing w:after="100" w:line="240" w:lineRule="auto"/>
        <w:rPr>
          <w:b/>
          <w:sz w:val="20"/>
          <w:szCs w:val="20"/>
        </w:rPr>
      </w:pPr>
      <w:bookmarkStart w:id="12" w:name="bookmark12"/>
      <w:bookmarkStart w:id="13" w:name="bookmark13"/>
      <w:r w:rsidRPr="00F22414">
        <w:rPr>
          <w:b/>
          <w:i/>
          <w:sz w:val="20"/>
          <w:szCs w:val="20"/>
          <w:lang w:bidi="ru-RU"/>
        </w:rPr>
        <w:t>Участники</w:t>
      </w:r>
      <w:bookmarkEnd w:id="12"/>
      <w:bookmarkEnd w:id="13"/>
    </w:p>
    <w:p w14:paraId="4F39FDCF" w14:textId="63734E5A" w:rsidR="008E0119" w:rsidRPr="008A55D6" w:rsidRDefault="00D8072A" w:rsidP="00D8072A">
      <w:pPr>
        <w:pStyle w:val="1"/>
        <w:shd w:val="clear" w:color="auto" w:fill="auto"/>
        <w:ind w:firstLine="360"/>
        <w:jc w:val="both"/>
        <w:rPr>
          <w:sz w:val="20"/>
          <w:szCs w:val="20"/>
        </w:rPr>
      </w:pPr>
      <w:r w:rsidRPr="008A55D6">
        <w:rPr>
          <w:sz w:val="20"/>
          <w:szCs w:val="20"/>
          <w:lang w:bidi="ru-RU"/>
        </w:rPr>
        <w:t>KNHANES IV (2007</w:t>
      </w:r>
      <w:r w:rsidRPr="008A55D6">
        <w:rPr>
          <w:rFonts w:eastAsia="Arial"/>
          <w:sz w:val="20"/>
          <w:szCs w:val="20"/>
          <w:lang w:bidi="ru-RU"/>
        </w:rPr>
        <w:t>–</w:t>
      </w:r>
      <w:r w:rsidRPr="008A55D6">
        <w:rPr>
          <w:sz w:val="20"/>
          <w:szCs w:val="20"/>
          <w:lang w:bidi="ru-RU"/>
        </w:rPr>
        <w:t>2009) — это общенациональное исследование с участием свободно проживающего гражданского населения Кореи. В рамках этого исследования проводится анкетирование участников по вопросам здоровья и питания, а также медицинское обследование. В данном исследовании был применен дизайн стратифицирова</w:t>
      </w:r>
      <w:r w:rsidRPr="008A55D6">
        <w:rPr>
          <w:rFonts w:eastAsia="Arial"/>
          <w:sz w:val="20"/>
          <w:szCs w:val="20"/>
          <w:lang w:bidi="ru-RU"/>
        </w:rPr>
        <w:t>нн</w:t>
      </w:r>
      <w:r w:rsidRPr="008A55D6">
        <w:rPr>
          <w:sz w:val="20"/>
          <w:szCs w:val="20"/>
          <w:lang w:bidi="ru-RU"/>
        </w:rPr>
        <w:t xml:space="preserve">ого многоэтапного вероятностного отбора, а выборка единиц проводилась с учетом географического региона, возраста и пола.  Исследование KNHANES подробно описано ранее </w:t>
      </w:r>
      <w:hyperlink w:anchor="bookmark68" w:tooltip="Текущий документ">
        <w:r w:rsidRPr="008A55D6">
          <w:rPr>
            <w:color w:val="000066"/>
            <w:sz w:val="20"/>
            <w:szCs w:val="20"/>
            <w:lang w:bidi="ru-RU"/>
          </w:rPr>
          <w:t>[2]</w:t>
        </w:r>
      </w:hyperlink>
      <w:r w:rsidRPr="008A55D6">
        <w:rPr>
          <w:sz w:val="20"/>
          <w:szCs w:val="20"/>
          <w:lang w:bidi="ru-RU"/>
        </w:rPr>
        <w:t>. Все участники предоставили информированное согласие до включения в исследование.</w:t>
      </w:r>
    </w:p>
    <w:p w14:paraId="4F39FDD0" w14:textId="77777777" w:rsidR="008E0119" w:rsidRPr="008A55D6" w:rsidRDefault="00D8072A" w:rsidP="00D8072A">
      <w:pPr>
        <w:pStyle w:val="1"/>
        <w:shd w:val="clear" w:color="auto" w:fill="auto"/>
        <w:ind w:firstLine="360"/>
        <w:jc w:val="both"/>
        <w:rPr>
          <w:sz w:val="20"/>
          <w:szCs w:val="20"/>
        </w:rPr>
      </w:pPr>
      <w:r w:rsidRPr="008A55D6">
        <w:rPr>
          <w:sz w:val="20"/>
          <w:szCs w:val="20"/>
          <w:lang w:bidi="ru-RU"/>
        </w:rPr>
        <w:t xml:space="preserve">Первоначально среди кандидатов на участие в настоящем исследовании рассматривалось 14 210 взрослых (в возрасте ≥ 20 лет), которые прошли: 1) Анкетирование по питанию; 2) физикальное и лабораторное обследование с измерением окружности талии, уровня артериального давления, уровней триглицеридов, глюкозы натощак и холестерина липопротеинов высокой плотности (ЛПВП). Участников, которые не принимали пищу менее 12 ч до обследования, исключили в </w:t>
      </w:r>
      <w:r w:rsidRPr="008A55D6">
        <w:rPr>
          <w:rFonts w:eastAsia="Arial"/>
          <w:sz w:val="20"/>
          <w:szCs w:val="20"/>
          <w:lang w:bidi="ru-RU"/>
        </w:rPr>
        <w:t>пе</w:t>
      </w:r>
      <w:r w:rsidRPr="008A55D6">
        <w:rPr>
          <w:sz w:val="20"/>
          <w:szCs w:val="20"/>
          <w:lang w:bidi="ru-RU"/>
        </w:rPr>
        <w:t>рвую очередь, так как это обстоятельство могло повлиять на точность лабораторных показат</w:t>
      </w:r>
      <w:r w:rsidRPr="008A55D6">
        <w:rPr>
          <w:rFonts w:eastAsia="Arial"/>
          <w:sz w:val="20"/>
          <w:szCs w:val="20"/>
          <w:lang w:bidi="ru-RU"/>
        </w:rPr>
        <w:t>ел</w:t>
      </w:r>
      <w:r w:rsidRPr="008A55D6">
        <w:rPr>
          <w:sz w:val="20"/>
          <w:szCs w:val="20"/>
          <w:lang w:bidi="ru-RU"/>
        </w:rPr>
        <w:t>ей (</w:t>
      </w:r>
      <w:r w:rsidRPr="008A55D6">
        <w:rPr>
          <w:i/>
          <w:sz w:val="20"/>
          <w:szCs w:val="20"/>
          <w:lang w:bidi="ru-RU"/>
        </w:rPr>
        <w:t>n</w:t>
      </w:r>
      <w:r w:rsidRPr="008A55D6">
        <w:rPr>
          <w:sz w:val="20"/>
          <w:szCs w:val="20"/>
          <w:lang w:bidi="ru-RU"/>
        </w:rPr>
        <w:t> = 3496). Мы также исключили участников, которые указали в анкете, что врачи уже диагностировали у них артериальную гипертензию, дислипидемию, сахарный диабет, инсульт, застойную сердечную недостаточность, инфаркт миокарда, почечную недостаточность, цирроз печени или онкологическое заболевание, поскольку привычки в питании и состояние здоровья этих лиц</w:t>
      </w:r>
      <w:r w:rsidRPr="008A55D6">
        <w:rPr>
          <w:rFonts w:eastAsia="Arial"/>
          <w:sz w:val="20"/>
          <w:szCs w:val="20"/>
          <w:lang w:bidi="ru-RU"/>
        </w:rPr>
        <w:t xml:space="preserve"> </w:t>
      </w:r>
      <w:r w:rsidRPr="008A55D6">
        <w:rPr>
          <w:sz w:val="20"/>
          <w:szCs w:val="20"/>
          <w:lang w:bidi="ru-RU"/>
        </w:rPr>
        <w:t>могли измениться после выявления указанных заболеваний (</w:t>
      </w:r>
      <w:r w:rsidRPr="008A55D6">
        <w:rPr>
          <w:i/>
          <w:sz w:val="20"/>
          <w:szCs w:val="20"/>
          <w:lang w:bidi="ru-RU"/>
        </w:rPr>
        <w:t>n</w:t>
      </w:r>
      <w:r w:rsidRPr="008A55D6">
        <w:rPr>
          <w:sz w:val="20"/>
          <w:szCs w:val="20"/>
          <w:lang w:bidi="ru-RU"/>
        </w:rPr>
        <w:t> = 2860). Затем мы исключили лиц, которые указали неправдоподобную общую калорийность рациона (</w:t>
      </w:r>
      <w:r w:rsidRPr="008A55D6">
        <w:rPr>
          <w:i/>
          <w:sz w:val="20"/>
          <w:szCs w:val="20"/>
          <w:lang w:bidi="ru-RU"/>
        </w:rPr>
        <w:t>n</w:t>
      </w:r>
      <w:r w:rsidRPr="008A55D6">
        <w:rPr>
          <w:sz w:val="20"/>
          <w:szCs w:val="20"/>
          <w:lang w:bidi="ru-RU"/>
        </w:rPr>
        <w:t xml:space="preserve"> = 249; </w:t>
      </w:r>
      <w:r w:rsidRPr="008A55D6">
        <w:rPr>
          <w:rFonts w:eastAsia="Arial"/>
          <w:sz w:val="20"/>
          <w:szCs w:val="20"/>
          <w:lang w:bidi="ru-RU"/>
        </w:rPr>
        <w:t>&lt;</w:t>
      </w:r>
      <w:r w:rsidRPr="008A55D6">
        <w:rPr>
          <w:sz w:val="20"/>
          <w:szCs w:val="20"/>
          <w:lang w:bidi="ru-RU"/>
        </w:rPr>
        <w:t xml:space="preserve"> 800 или </w:t>
      </w:r>
      <w:r w:rsidRPr="008A55D6">
        <w:rPr>
          <w:rFonts w:eastAsia="Arial"/>
          <w:sz w:val="20"/>
          <w:szCs w:val="20"/>
          <w:lang w:bidi="ru-RU"/>
        </w:rPr>
        <w:t>&gt;</w:t>
      </w:r>
      <w:r w:rsidRPr="008A55D6">
        <w:rPr>
          <w:sz w:val="20"/>
          <w:szCs w:val="20"/>
          <w:lang w:bidi="ru-RU"/>
        </w:rPr>
        <w:t xml:space="preserve"> 4200 ккал/сут для мужчин; </w:t>
      </w:r>
      <w:r w:rsidRPr="008A55D6">
        <w:rPr>
          <w:rFonts w:eastAsia="Arial"/>
          <w:sz w:val="20"/>
          <w:szCs w:val="20"/>
          <w:lang w:bidi="ru-RU"/>
        </w:rPr>
        <w:t>&lt;</w:t>
      </w:r>
      <w:r w:rsidRPr="008A55D6">
        <w:rPr>
          <w:sz w:val="20"/>
          <w:szCs w:val="20"/>
          <w:lang w:bidi="ru-RU"/>
        </w:rPr>
        <w:t xml:space="preserve"> 600 или </w:t>
      </w:r>
      <w:r w:rsidRPr="008A55D6">
        <w:rPr>
          <w:rFonts w:eastAsia="Arial"/>
          <w:sz w:val="20"/>
          <w:szCs w:val="20"/>
          <w:lang w:bidi="ru-RU"/>
        </w:rPr>
        <w:t>&gt;</w:t>
      </w:r>
      <w:r w:rsidRPr="008A55D6">
        <w:rPr>
          <w:sz w:val="20"/>
          <w:szCs w:val="20"/>
          <w:lang w:bidi="ru-RU"/>
        </w:rPr>
        <w:t> 3500 ккал/сут для женщин) и лиц, принимавших препараты, влияющие на артериальное давление, метаболизм углеводов и уровень липопротеинов (</w:t>
      </w:r>
      <w:r w:rsidRPr="008A55D6">
        <w:rPr>
          <w:i/>
          <w:sz w:val="20"/>
          <w:szCs w:val="20"/>
          <w:lang w:bidi="ru-RU"/>
        </w:rPr>
        <w:t>n</w:t>
      </w:r>
      <w:r w:rsidRPr="008A55D6">
        <w:rPr>
          <w:sz w:val="20"/>
          <w:szCs w:val="20"/>
          <w:lang w:bidi="ru-RU"/>
        </w:rPr>
        <w:t> = 8). Беременные женщины также были исключены из анализа в связи с физиологическими изменениями, происходящими в организме во время беременности (</w:t>
      </w:r>
      <w:r w:rsidRPr="008A55D6">
        <w:rPr>
          <w:i/>
          <w:sz w:val="20"/>
          <w:szCs w:val="20"/>
          <w:lang w:bidi="ru-RU"/>
        </w:rPr>
        <w:t>n</w:t>
      </w:r>
      <w:r w:rsidRPr="008A55D6">
        <w:rPr>
          <w:sz w:val="20"/>
          <w:szCs w:val="20"/>
          <w:lang w:bidi="ru-RU"/>
        </w:rPr>
        <w:t> = 55). После всех исключений осталось 7542 человека (2684 мужчины и 4858 женщин), которых мы включили в настоящий анализ.</w:t>
      </w:r>
    </w:p>
    <w:p w14:paraId="4F39FDD1" w14:textId="77777777" w:rsidR="008E0119" w:rsidRPr="008A55D6" w:rsidRDefault="00D8072A" w:rsidP="00AD7DBA">
      <w:pPr>
        <w:pStyle w:val="30"/>
        <w:keepNext/>
        <w:keepLines/>
        <w:numPr>
          <w:ilvl w:val="1"/>
          <w:numId w:val="1"/>
        </w:numPr>
        <w:shd w:val="clear" w:color="auto" w:fill="auto"/>
        <w:tabs>
          <w:tab w:val="left" w:pos="394"/>
        </w:tabs>
        <w:spacing w:before="120" w:after="120" w:line="240" w:lineRule="auto"/>
        <w:rPr>
          <w:sz w:val="20"/>
          <w:szCs w:val="20"/>
        </w:rPr>
      </w:pPr>
      <w:bookmarkStart w:id="14" w:name="bookmark14"/>
      <w:bookmarkStart w:id="15" w:name="bookmark15"/>
      <w:r w:rsidRPr="008A55D6">
        <w:rPr>
          <w:i/>
          <w:sz w:val="20"/>
          <w:szCs w:val="20"/>
          <w:lang w:bidi="ru-RU"/>
        </w:rPr>
        <w:t>Демографические и социально-экономические факторы</w:t>
      </w:r>
      <w:bookmarkEnd w:id="14"/>
      <w:bookmarkEnd w:id="15"/>
    </w:p>
    <w:p w14:paraId="4F39FDD2" w14:textId="77777777" w:rsidR="008E0119" w:rsidRPr="008A55D6" w:rsidRDefault="00D8072A" w:rsidP="00AD7DBA">
      <w:pPr>
        <w:pStyle w:val="1"/>
        <w:shd w:val="clear" w:color="auto" w:fill="auto"/>
        <w:ind w:firstLine="360"/>
        <w:jc w:val="both"/>
        <w:rPr>
          <w:sz w:val="20"/>
          <w:szCs w:val="20"/>
        </w:rPr>
      </w:pPr>
      <w:r w:rsidRPr="008A55D6">
        <w:rPr>
          <w:sz w:val="20"/>
          <w:szCs w:val="20"/>
          <w:lang w:bidi="ru-RU"/>
        </w:rPr>
        <w:t>Обученные интервьюеры собирали сведения о демографических факторах и образе жизни участников в ходе персональных опросов.  Были использованы следующие демографические переменные: возраст 20</w:t>
      </w:r>
      <w:r w:rsidR="00AD7DBA" w:rsidRPr="008A55D6">
        <w:rPr>
          <w:rFonts w:eastAsia="Arial"/>
          <w:sz w:val="20"/>
          <w:szCs w:val="20"/>
          <w:lang w:bidi="ru-RU"/>
        </w:rPr>
        <w:t>–</w:t>
      </w:r>
      <w:r w:rsidRPr="008A55D6">
        <w:rPr>
          <w:sz w:val="20"/>
          <w:szCs w:val="20"/>
          <w:lang w:bidi="ru-RU"/>
        </w:rPr>
        <w:t>29, 30</w:t>
      </w:r>
      <w:r w:rsidR="00AD7DBA" w:rsidRPr="008A55D6">
        <w:rPr>
          <w:rFonts w:eastAsia="Arial"/>
          <w:sz w:val="20"/>
          <w:szCs w:val="20"/>
          <w:lang w:bidi="ru-RU"/>
        </w:rPr>
        <w:t>–</w:t>
      </w:r>
      <w:r w:rsidRPr="008A55D6">
        <w:rPr>
          <w:sz w:val="20"/>
          <w:szCs w:val="20"/>
          <w:lang w:bidi="ru-RU"/>
        </w:rPr>
        <w:t>39, 40</w:t>
      </w:r>
      <w:r w:rsidR="00AD7DBA" w:rsidRPr="008A55D6">
        <w:rPr>
          <w:rFonts w:eastAsia="Arial"/>
          <w:sz w:val="20"/>
          <w:szCs w:val="20"/>
          <w:lang w:bidi="ru-RU"/>
        </w:rPr>
        <w:t>–</w:t>
      </w:r>
      <w:r w:rsidRPr="008A55D6">
        <w:rPr>
          <w:sz w:val="20"/>
          <w:szCs w:val="20"/>
          <w:lang w:bidi="ru-RU"/>
        </w:rPr>
        <w:t>49, 50</w:t>
      </w:r>
      <w:r w:rsidR="00AD7DBA" w:rsidRPr="008A55D6">
        <w:rPr>
          <w:rFonts w:eastAsia="Arial"/>
          <w:sz w:val="20"/>
          <w:szCs w:val="20"/>
          <w:lang w:bidi="ru-RU"/>
        </w:rPr>
        <w:t>–</w:t>
      </w:r>
      <w:r w:rsidRPr="008A55D6">
        <w:rPr>
          <w:sz w:val="20"/>
          <w:szCs w:val="20"/>
          <w:lang w:bidi="ru-RU"/>
        </w:rPr>
        <w:t>59, 60</w:t>
      </w:r>
      <w:r w:rsidRPr="008A55D6">
        <w:rPr>
          <w:rFonts w:eastAsia="Arial"/>
          <w:sz w:val="20"/>
          <w:szCs w:val="20"/>
          <w:lang w:bidi="ru-RU"/>
        </w:rPr>
        <w:t>–</w:t>
      </w:r>
      <w:r w:rsidRPr="008A55D6">
        <w:rPr>
          <w:sz w:val="20"/>
          <w:szCs w:val="20"/>
          <w:lang w:bidi="ru-RU"/>
        </w:rPr>
        <w:t xml:space="preserve">69 и ≥ 70 лет), пол, уровень образования (начальная школа и меньше, средняя или общеобразовательная школа, высшее образование и выше) и уровень ежемесячного семейного дохода (по квартилям приведенного к эквиваленту семейного дохода). Приведенный к эквиваленту семейный доход вычисляли путем деления общего семейного дохода за месяц на квадратный корень из общего числа членов семьи. В отношении образа жизни были выбраны следующие переменные: курение (никогда не курили, курили ранее или курят в настоящее время), употребление алкоголя (грамм алкоголя/сут) и уровень физической активности (низкий, средний или высокий). Участников спрашивали, курили ли они когда-либо или курят в настоящее время. Средние дозы и количество употребляемых алкогольных напитков оценивали по опроснику, который участники заполняли самостоятельно, а затем пересчитывали в количество чистого спирта (в граммах), потребляемого за сутки </w:t>
      </w:r>
      <w:r w:rsidRPr="008A55D6">
        <w:rPr>
          <w:color w:val="000066"/>
          <w:sz w:val="20"/>
          <w:szCs w:val="20"/>
          <w:lang w:bidi="ru-RU"/>
        </w:rPr>
        <w:t>[15]</w:t>
      </w:r>
      <w:r w:rsidRPr="008A55D6">
        <w:rPr>
          <w:sz w:val="20"/>
          <w:szCs w:val="20"/>
          <w:lang w:bidi="ru-RU"/>
        </w:rPr>
        <w:t>. Уровень физической активности количестве</w:t>
      </w:r>
      <w:r w:rsidRPr="008A55D6">
        <w:rPr>
          <w:rFonts w:eastAsia="Arial"/>
          <w:sz w:val="20"/>
          <w:szCs w:val="20"/>
          <w:lang w:bidi="ru-RU"/>
        </w:rPr>
        <w:t>нн</w:t>
      </w:r>
      <w:r w:rsidRPr="008A55D6">
        <w:rPr>
          <w:sz w:val="20"/>
          <w:szCs w:val="20"/>
          <w:lang w:bidi="ru-RU"/>
        </w:rPr>
        <w:t xml:space="preserve">о оценивали в виде минут метаболических эквивалентов нагрузки в неделю (МЭН-минут в неделю), которые рассчитывали по балльному протоколу корейской версии короткой формы Международного опросника по физической активности (IPAQ) </w:t>
      </w:r>
      <w:r w:rsidRPr="008A55D6">
        <w:rPr>
          <w:color w:val="000066"/>
          <w:sz w:val="20"/>
          <w:szCs w:val="20"/>
          <w:lang w:bidi="ru-RU"/>
        </w:rPr>
        <w:t>[16]</w:t>
      </w:r>
      <w:r w:rsidRPr="008A55D6">
        <w:rPr>
          <w:sz w:val="20"/>
          <w:szCs w:val="20"/>
          <w:lang w:bidi="ru-RU"/>
        </w:rPr>
        <w:t>. Далее уровень физической активности классифициро</w:t>
      </w:r>
      <w:r w:rsidRPr="008A55D6">
        <w:rPr>
          <w:rFonts w:eastAsia="Arial"/>
          <w:sz w:val="20"/>
          <w:szCs w:val="20"/>
          <w:lang w:bidi="ru-RU"/>
        </w:rPr>
        <w:t>ва</w:t>
      </w:r>
      <w:r w:rsidRPr="008A55D6">
        <w:rPr>
          <w:sz w:val="20"/>
          <w:szCs w:val="20"/>
          <w:lang w:bidi="ru-RU"/>
        </w:rPr>
        <w:t>ли, соответственно, как низкий (</w:t>
      </w:r>
      <w:r w:rsidRPr="008A55D6">
        <w:rPr>
          <w:rFonts w:eastAsia="Arial"/>
          <w:sz w:val="20"/>
          <w:szCs w:val="20"/>
          <w:lang w:bidi="ru-RU"/>
        </w:rPr>
        <w:t>&lt;</w:t>
      </w:r>
      <w:r w:rsidRPr="008A55D6">
        <w:rPr>
          <w:sz w:val="20"/>
          <w:szCs w:val="20"/>
          <w:lang w:bidi="ru-RU"/>
        </w:rPr>
        <w:t xml:space="preserve"> 600 МЭН-мин в неделю), средний (от ≥ 600 до </w:t>
      </w:r>
      <w:r w:rsidRPr="008A55D6">
        <w:rPr>
          <w:rFonts w:eastAsia="Arial"/>
          <w:sz w:val="20"/>
          <w:szCs w:val="20"/>
          <w:lang w:bidi="ru-RU"/>
        </w:rPr>
        <w:t>&lt;</w:t>
      </w:r>
      <w:r w:rsidRPr="008A55D6">
        <w:rPr>
          <w:sz w:val="20"/>
          <w:szCs w:val="20"/>
          <w:lang w:bidi="ru-RU"/>
        </w:rPr>
        <w:t> 3000 МЭН-мин в неделю) или высокий (≥ 3000 МЭН-мин в неделю).</w:t>
      </w:r>
    </w:p>
    <w:p w14:paraId="4F39FDD3" w14:textId="77777777" w:rsidR="008E0119" w:rsidRPr="008A55D6" w:rsidRDefault="00D8072A" w:rsidP="00AD7DBA">
      <w:pPr>
        <w:pStyle w:val="30"/>
        <w:keepNext/>
        <w:keepLines/>
        <w:numPr>
          <w:ilvl w:val="1"/>
          <w:numId w:val="1"/>
        </w:numPr>
        <w:shd w:val="clear" w:color="auto" w:fill="auto"/>
        <w:tabs>
          <w:tab w:val="left" w:pos="394"/>
        </w:tabs>
        <w:spacing w:before="120" w:after="120" w:line="240" w:lineRule="auto"/>
        <w:rPr>
          <w:sz w:val="20"/>
          <w:szCs w:val="20"/>
        </w:rPr>
      </w:pPr>
      <w:bookmarkStart w:id="16" w:name="bookmark16"/>
      <w:bookmarkStart w:id="17" w:name="bookmark17"/>
      <w:r w:rsidRPr="008A55D6">
        <w:rPr>
          <w:sz w:val="20"/>
          <w:szCs w:val="20"/>
          <w:lang w:bidi="ru-RU"/>
        </w:rPr>
        <w:t>Оценка рациона питания</w:t>
      </w:r>
      <w:bookmarkEnd w:id="16"/>
      <w:bookmarkEnd w:id="17"/>
    </w:p>
    <w:p w14:paraId="4F39FDD4" w14:textId="77777777" w:rsidR="008E0119" w:rsidRPr="008A55D6" w:rsidRDefault="00D8072A" w:rsidP="00AD7DBA">
      <w:pPr>
        <w:pStyle w:val="1"/>
        <w:shd w:val="clear" w:color="auto" w:fill="auto"/>
        <w:ind w:firstLine="360"/>
        <w:jc w:val="both"/>
        <w:rPr>
          <w:sz w:val="20"/>
          <w:szCs w:val="20"/>
        </w:rPr>
      </w:pPr>
      <w:r w:rsidRPr="008A55D6">
        <w:rPr>
          <w:sz w:val="20"/>
          <w:szCs w:val="20"/>
          <w:lang w:bidi="ru-RU"/>
        </w:rPr>
        <w:t>Рацион питания оценивали однократно методом опроса о пище, потребленной накануне в будний день</w:t>
      </w:r>
      <w:r w:rsidRPr="008A55D6">
        <w:rPr>
          <w:rFonts w:eastAsia="Arial"/>
          <w:sz w:val="20"/>
          <w:szCs w:val="20"/>
          <w:lang w:bidi="ru-RU"/>
        </w:rPr>
        <w:t>,</w:t>
      </w:r>
      <w:r w:rsidRPr="008A55D6">
        <w:rPr>
          <w:sz w:val="20"/>
          <w:szCs w:val="20"/>
          <w:lang w:bidi="ru-RU"/>
        </w:rPr>
        <w:t xml:space="preserve"> то есть все сведения о продуктах питания и напитках, которые употреблялись за последние 24 часа, были получены от самих участников. Исходя из этих данных рассчитывались уровни потребления питательных веществ и электролитов по таблице состава пищевых продуктов, разработанной и аттестованной Управлением по развитию сельскохозяйственных районов. В данном исследовании учитывали следующие показатели рациона: общая калорийность (ккал/сут), потребление углеводов (% калорий), общих жиров (% калорий), белков (% калорий), пищевых </w:t>
      </w:r>
      <w:r w:rsidRPr="008A55D6">
        <w:rPr>
          <w:rFonts w:eastAsia="Arial"/>
          <w:sz w:val="20"/>
          <w:szCs w:val="20"/>
          <w:lang w:bidi="ru-RU"/>
        </w:rPr>
        <w:t>во</w:t>
      </w:r>
      <w:r w:rsidRPr="008A55D6">
        <w:rPr>
          <w:sz w:val="20"/>
          <w:szCs w:val="20"/>
          <w:lang w:bidi="ru-RU"/>
        </w:rPr>
        <w:t>локон (г/1000 ккал), витамина С (мг/1000 ккал), натрия (мг/1000 ккал) и калия (мг/1000 ккал). Суточное потребление калия было разделено на квартили в целях анализа данных. Мы дополнительно рассчитали соотношение натрия и калия в составе рациона (соотношение Na:K) и разделили полученные величины на квартили для оценки их влияния на метаболический синдром и его компоненты.</w:t>
      </w:r>
    </w:p>
    <w:p w14:paraId="4F39FDD5" w14:textId="77777777" w:rsidR="008E0119" w:rsidRPr="008A55D6" w:rsidRDefault="00D8072A" w:rsidP="00AD7DBA">
      <w:pPr>
        <w:pStyle w:val="1"/>
        <w:shd w:val="clear" w:color="auto" w:fill="auto"/>
        <w:ind w:firstLine="360"/>
        <w:jc w:val="both"/>
        <w:rPr>
          <w:sz w:val="20"/>
          <w:szCs w:val="20"/>
        </w:rPr>
      </w:pPr>
      <w:r w:rsidRPr="008A55D6">
        <w:rPr>
          <w:sz w:val="20"/>
          <w:szCs w:val="20"/>
          <w:lang w:bidi="ru-RU"/>
        </w:rPr>
        <w:t xml:space="preserve">Метод опроса о рационе питания за прошедшие сутки является одним из доступных на практике методов, который используется в крупных популяционных исследованиях благодаря своему методологическому удобству и осуществимости, и этот метод применялся в предыдущих популяционных исследованиях </w:t>
      </w:r>
      <w:r w:rsidRPr="008A55D6">
        <w:rPr>
          <w:color w:val="000066"/>
          <w:sz w:val="20"/>
          <w:szCs w:val="20"/>
          <w:lang w:bidi="ru-RU"/>
        </w:rPr>
        <w:t>[17,18]</w:t>
      </w:r>
      <w:r w:rsidRPr="008A55D6">
        <w:rPr>
          <w:sz w:val="20"/>
          <w:szCs w:val="20"/>
          <w:lang w:bidi="ru-RU"/>
        </w:rPr>
        <w:t xml:space="preserve">. Установлено, что на групповом уровне метод опроса о рационе питания за прошедшие сутки достаточно надежен </w:t>
      </w:r>
      <w:r w:rsidRPr="008A55D6">
        <w:rPr>
          <w:color w:val="000066"/>
          <w:sz w:val="20"/>
          <w:szCs w:val="20"/>
          <w:lang w:bidi="ru-RU"/>
        </w:rPr>
        <w:t>[19]</w:t>
      </w:r>
      <w:r w:rsidRPr="008A55D6">
        <w:rPr>
          <w:sz w:val="20"/>
          <w:szCs w:val="20"/>
          <w:lang w:bidi="ru-RU"/>
        </w:rPr>
        <w:t xml:space="preserve">. Расчетный уровень </w:t>
      </w:r>
      <w:r w:rsidRPr="008A55D6">
        <w:rPr>
          <w:sz w:val="20"/>
          <w:szCs w:val="20"/>
          <w:lang w:bidi="ru-RU"/>
        </w:rPr>
        <w:lastRenderedPageBreak/>
        <w:t>потребления калия на основе однократного опроса о рационе питания за прошедшие сутки хорошо коррелирует с совокупными данными по его долгосрочному потреблению (</w:t>
      </w:r>
      <w:r w:rsidRPr="008A55D6">
        <w:rPr>
          <w:i/>
          <w:sz w:val="20"/>
          <w:szCs w:val="20"/>
          <w:lang w:bidi="ru-RU"/>
        </w:rPr>
        <w:t>r</w:t>
      </w:r>
      <w:r w:rsidRPr="008A55D6">
        <w:rPr>
          <w:sz w:val="20"/>
          <w:szCs w:val="20"/>
          <w:lang w:bidi="ru-RU"/>
        </w:rPr>
        <w:t xml:space="preserve"> = 0,70) </w:t>
      </w:r>
      <w:r w:rsidRPr="008A55D6">
        <w:rPr>
          <w:color w:val="000066"/>
          <w:sz w:val="20"/>
          <w:szCs w:val="20"/>
          <w:lang w:bidi="ru-RU"/>
        </w:rPr>
        <w:t>[20]</w:t>
      </w:r>
      <w:r w:rsidRPr="008A55D6">
        <w:rPr>
          <w:sz w:val="20"/>
          <w:szCs w:val="20"/>
          <w:lang w:bidi="ru-RU"/>
        </w:rPr>
        <w:t xml:space="preserve"> и знач</w:t>
      </w:r>
      <w:r w:rsidRPr="008A55D6">
        <w:rPr>
          <w:rFonts w:eastAsia="Arial"/>
          <w:sz w:val="20"/>
          <w:szCs w:val="20"/>
          <w:lang w:bidi="ru-RU"/>
        </w:rPr>
        <w:t>им</w:t>
      </w:r>
      <w:r w:rsidRPr="008A55D6">
        <w:rPr>
          <w:sz w:val="20"/>
          <w:szCs w:val="20"/>
          <w:lang w:bidi="ru-RU"/>
        </w:rPr>
        <w:t xml:space="preserve">о коррелирует с уровнем суточной экскреции с мочой </w:t>
      </w:r>
      <w:r w:rsidRPr="008A55D6">
        <w:rPr>
          <w:color w:val="000066"/>
          <w:sz w:val="20"/>
          <w:szCs w:val="20"/>
          <w:lang w:bidi="ru-RU"/>
        </w:rPr>
        <w:t>[21,22]</w:t>
      </w:r>
      <w:r w:rsidRPr="008A55D6">
        <w:rPr>
          <w:sz w:val="20"/>
          <w:szCs w:val="20"/>
          <w:lang w:bidi="ru-RU"/>
        </w:rPr>
        <w:t xml:space="preserve">, в том числе и у населения Кореи </w:t>
      </w:r>
      <w:r w:rsidRPr="008A55D6">
        <w:rPr>
          <w:color w:val="000066"/>
          <w:sz w:val="20"/>
          <w:szCs w:val="20"/>
          <w:lang w:bidi="ru-RU"/>
        </w:rPr>
        <w:t>[23]</w:t>
      </w:r>
      <w:r w:rsidRPr="008A55D6">
        <w:rPr>
          <w:sz w:val="20"/>
          <w:szCs w:val="20"/>
          <w:lang w:bidi="ru-RU"/>
        </w:rPr>
        <w:t xml:space="preserve">. Таким образом, хотя метод опроса о рационе питания за прошедшие сутки может быть неточным при оценке индивидуального уровня потребления калия, он позволяет получить надежные данные в отношении его группового потребления </w:t>
      </w:r>
      <w:r w:rsidRPr="008A55D6">
        <w:rPr>
          <w:color w:val="000066"/>
          <w:sz w:val="20"/>
          <w:szCs w:val="20"/>
          <w:lang w:bidi="ru-RU"/>
        </w:rPr>
        <w:t>[21]</w:t>
      </w:r>
      <w:r w:rsidRPr="008A55D6">
        <w:rPr>
          <w:sz w:val="20"/>
          <w:szCs w:val="20"/>
          <w:lang w:bidi="ru-RU"/>
        </w:rPr>
        <w:t>.</w:t>
      </w:r>
    </w:p>
    <w:p w14:paraId="4F39FDD6" w14:textId="77777777" w:rsidR="008E0119" w:rsidRPr="008A55D6" w:rsidRDefault="00D8072A" w:rsidP="00AD7DBA">
      <w:pPr>
        <w:pStyle w:val="30"/>
        <w:keepNext/>
        <w:keepLines/>
        <w:numPr>
          <w:ilvl w:val="1"/>
          <w:numId w:val="1"/>
        </w:numPr>
        <w:shd w:val="clear" w:color="auto" w:fill="auto"/>
        <w:tabs>
          <w:tab w:val="left" w:pos="394"/>
        </w:tabs>
        <w:spacing w:before="120" w:after="120" w:line="240" w:lineRule="auto"/>
        <w:rPr>
          <w:sz w:val="20"/>
          <w:szCs w:val="20"/>
        </w:rPr>
      </w:pPr>
      <w:bookmarkStart w:id="18" w:name="bookmark18"/>
      <w:bookmarkStart w:id="19" w:name="bookmark19"/>
      <w:r w:rsidRPr="008A55D6">
        <w:rPr>
          <w:i/>
          <w:sz w:val="20"/>
          <w:szCs w:val="20"/>
          <w:lang w:bidi="ru-RU"/>
        </w:rPr>
        <w:t>Антропометрические показатели</w:t>
      </w:r>
      <w:bookmarkEnd w:id="18"/>
      <w:bookmarkEnd w:id="19"/>
    </w:p>
    <w:p w14:paraId="4F39FDD7" w14:textId="77777777" w:rsidR="008E0119" w:rsidRPr="008A55D6" w:rsidRDefault="00D8072A" w:rsidP="00AD7DBA">
      <w:pPr>
        <w:pStyle w:val="1"/>
        <w:shd w:val="clear" w:color="auto" w:fill="auto"/>
        <w:ind w:firstLine="360"/>
        <w:jc w:val="both"/>
        <w:rPr>
          <w:sz w:val="20"/>
          <w:szCs w:val="20"/>
        </w:rPr>
      </w:pPr>
      <w:r w:rsidRPr="008A55D6">
        <w:rPr>
          <w:sz w:val="20"/>
          <w:szCs w:val="20"/>
          <w:lang w:bidi="ru-RU"/>
        </w:rPr>
        <w:t>Массу тела и рост измеряли по стандартным правилам с погрешностью 0,1 кг и 0,1 см, соответственно. Окружность талии измеряли в самом узком месте между нижним краем грудной клетки и верхним краем гребня подвздошной кости в конце нормального выдоха. Прошедшие специальную подготовку сотрудники измеряли артериальное давление мануальным методом с помощью ртутного сфигмоманометра («Бауманометр»; «Баум», Копиаг, Нью-Йорк).</w:t>
      </w:r>
    </w:p>
    <w:p w14:paraId="4F39FDD8" w14:textId="77777777" w:rsidR="008E0119" w:rsidRPr="008A55D6" w:rsidRDefault="00D8072A" w:rsidP="00AD7DBA">
      <w:pPr>
        <w:pStyle w:val="30"/>
        <w:keepNext/>
        <w:keepLines/>
        <w:numPr>
          <w:ilvl w:val="1"/>
          <w:numId w:val="1"/>
        </w:numPr>
        <w:shd w:val="clear" w:color="auto" w:fill="auto"/>
        <w:tabs>
          <w:tab w:val="left" w:pos="394"/>
        </w:tabs>
        <w:spacing w:before="120" w:after="120" w:line="240" w:lineRule="auto"/>
        <w:rPr>
          <w:sz w:val="20"/>
          <w:szCs w:val="20"/>
        </w:rPr>
      </w:pPr>
      <w:bookmarkStart w:id="20" w:name="bookmark20"/>
      <w:bookmarkStart w:id="21" w:name="bookmark21"/>
      <w:r w:rsidRPr="008A55D6">
        <w:rPr>
          <w:i/>
          <w:sz w:val="20"/>
          <w:szCs w:val="20"/>
          <w:lang w:bidi="ru-RU"/>
        </w:rPr>
        <w:t>Лабораторное обследование</w:t>
      </w:r>
      <w:bookmarkEnd w:id="20"/>
      <w:bookmarkEnd w:id="21"/>
    </w:p>
    <w:p w14:paraId="4F39FDD9" w14:textId="77777777" w:rsidR="008E0119" w:rsidRPr="008A55D6" w:rsidRDefault="00D8072A" w:rsidP="00AD7DBA">
      <w:pPr>
        <w:pStyle w:val="1"/>
        <w:shd w:val="clear" w:color="auto" w:fill="auto"/>
        <w:ind w:firstLine="360"/>
        <w:jc w:val="both"/>
        <w:rPr>
          <w:sz w:val="20"/>
          <w:szCs w:val="20"/>
        </w:rPr>
      </w:pPr>
      <w:r w:rsidRPr="008A55D6">
        <w:rPr>
          <w:sz w:val="20"/>
          <w:szCs w:val="20"/>
          <w:lang w:bidi="ru-RU"/>
        </w:rPr>
        <w:t>Образцы крови брали из локтевой вены и сразу же центрифугировали. В этих образцах крови определяли концентрацию общего холестерина, холестерина ЛПВП, триглицеридов и глюкозы. Концентрации липидов и глюкозы плазмы крови натощак (период голодания ≥ 12 ч) измеряли энзиматическим методом на анализаторах ADVIA 1650 («Сименс», США; февраль 2007</w:t>
      </w:r>
      <w:r w:rsidRPr="008A55D6">
        <w:rPr>
          <w:rFonts w:eastAsia="Arial"/>
          <w:sz w:val="20"/>
          <w:szCs w:val="20"/>
          <w:lang w:bidi="ru-RU"/>
        </w:rPr>
        <w:t>–</w:t>
      </w:r>
      <w:r w:rsidRPr="008A55D6">
        <w:rPr>
          <w:sz w:val="20"/>
          <w:szCs w:val="20"/>
          <w:lang w:bidi="ru-RU"/>
        </w:rPr>
        <w:t>2008 гг.) и Hitachi Automatic Analyzer 7600 («Хитачи», Япония; февраль 2008</w:t>
      </w:r>
      <w:r w:rsidRPr="008A55D6">
        <w:rPr>
          <w:rFonts w:eastAsia="Arial"/>
          <w:sz w:val="20"/>
          <w:szCs w:val="20"/>
          <w:lang w:bidi="ru-RU"/>
        </w:rPr>
        <w:t>–</w:t>
      </w:r>
      <w:r w:rsidRPr="008A55D6">
        <w:rPr>
          <w:sz w:val="20"/>
          <w:szCs w:val="20"/>
          <w:lang w:bidi="ru-RU"/>
        </w:rPr>
        <w:t>2009 гг.).</w:t>
      </w:r>
    </w:p>
    <w:p w14:paraId="4F39FDDA" w14:textId="77777777" w:rsidR="008E0119" w:rsidRPr="008A55D6" w:rsidRDefault="00D8072A" w:rsidP="00AD7DBA">
      <w:pPr>
        <w:pStyle w:val="30"/>
        <w:keepNext/>
        <w:keepLines/>
        <w:numPr>
          <w:ilvl w:val="1"/>
          <w:numId w:val="1"/>
        </w:numPr>
        <w:shd w:val="clear" w:color="auto" w:fill="auto"/>
        <w:tabs>
          <w:tab w:val="left" w:pos="394"/>
        </w:tabs>
        <w:spacing w:before="120" w:after="120" w:line="240" w:lineRule="auto"/>
        <w:rPr>
          <w:sz w:val="20"/>
          <w:szCs w:val="20"/>
        </w:rPr>
      </w:pPr>
      <w:bookmarkStart w:id="22" w:name="bookmark22"/>
      <w:bookmarkStart w:id="23" w:name="bookmark23"/>
      <w:r w:rsidRPr="008A55D6">
        <w:rPr>
          <w:i/>
          <w:sz w:val="20"/>
          <w:szCs w:val="20"/>
          <w:lang w:bidi="ru-RU"/>
        </w:rPr>
        <w:t>Опреде</w:t>
      </w:r>
      <w:r w:rsidRPr="008A55D6">
        <w:rPr>
          <w:rFonts w:eastAsia="Arial"/>
          <w:sz w:val="20"/>
          <w:szCs w:val="20"/>
          <w:lang w:bidi="ru-RU"/>
        </w:rPr>
        <w:t>ле</w:t>
      </w:r>
      <w:r w:rsidRPr="008A55D6">
        <w:rPr>
          <w:i/>
          <w:sz w:val="20"/>
          <w:szCs w:val="20"/>
          <w:lang w:bidi="ru-RU"/>
        </w:rPr>
        <w:t>ние метаболического синдрома</w:t>
      </w:r>
      <w:bookmarkEnd w:id="22"/>
      <w:bookmarkEnd w:id="23"/>
    </w:p>
    <w:p w14:paraId="4F39FDDB" w14:textId="4F225053" w:rsidR="00AD7DBA" w:rsidRPr="00A16EEF" w:rsidRDefault="00D8072A" w:rsidP="00AD7DBA">
      <w:pPr>
        <w:pStyle w:val="1"/>
        <w:shd w:val="clear" w:color="auto" w:fill="auto"/>
        <w:ind w:firstLine="360"/>
        <w:jc w:val="both"/>
      </w:pPr>
      <w:r w:rsidRPr="008A55D6">
        <w:rPr>
          <w:sz w:val="20"/>
          <w:szCs w:val="20"/>
          <w:lang w:bidi="ru-RU"/>
        </w:rPr>
        <w:t>Мы использовали модифицирова</w:t>
      </w:r>
      <w:r w:rsidRPr="008A55D6">
        <w:rPr>
          <w:rFonts w:eastAsia="Arial"/>
          <w:sz w:val="20"/>
          <w:szCs w:val="20"/>
          <w:lang w:bidi="ru-RU"/>
        </w:rPr>
        <w:t>нн</w:t>
      </w:r>
      <w:r w:rsidRPr="008A55D6">
        <w:rPr>
          <w:sz w:val="20"/>
          <w:szCs w:val="20"/>
          <w:lang w:bidi="ru-RU"/>
        </w:rPr>
        <w:t>ые критерии, представленные в III докладе группы экспертов по лечению взрослых Национальной образовательной программы по холестерину (NCEP-ATP III), для диагнос</w:t>
      </w:r>
      <w:r w:rsidRPr="008A55D6">
        <w:rPr>
          <w:rFonts w:eastAsia="Arial"/>
          <w:sz w:val="20"/>
          <w:szCs w:val="20"/>
          <w:lang w:bidi="ru-RU"/>
        </w:rPr>
        <w:t>ти</w:t>
      </w:r>
      <w:r w:rsidRPr="008A55D6">
        <w:rPr>
          <w:sz w:val="20"/>
          <w:szCs w:val="20"/>
          <w:lang w:bidi="ru-RU"/>
        </w:rPr>
        <w:t xml:space="preserve">ки метаболического синдрома </w:t>
      </w:r>
      <w:hyperlink w:anchor="bookmark65" w:tooltip="Текущий документ">
        <w:r w:rsidRPr="008A55D6">
          <w:rPr>
            <w:color w:val="000066"/>
            <w:sz w:val="20"/>
            <w:szCs w:val="20"/>
            <w:lang w:bidi="ru-RU"/>
          </w:rPr>
          <w:t>[1]</w:t>
        </w:r>
      </w:hyperlink>
      <w:r w:rsidRPr="008A55D6">
        <w:rPr>
          <w:sz w:val="20"/>
          <w:szCs w:val="20"/>
          <w:lang w:bidi="ru-RU"/>
        </w:rPr>
        <w:t xml:space="preserve"> при наличии 3 и более признаков из перечисленных ниже: 1) окружность талии ≥ 90 см у мужчин и ≥ 85 см у женщин; на основании критериев Корейского общества по изучению ожирения </w:t>
      </w:r>
      <w:r w:rsidRPr="008A55D6">
        <w:rPr>
          <w:color w:val="000066"/>
          <w:sz w:val="20"/>
          <w:szCs w:val="20"/>
          <w:lang w:bidi="ru-RU"/>
        </w:rPr>
        <w:t>[24]</w:t>
      </w:r>
      <w:r w:rsidRPr="008A55D6">
        <w:rPr>
          <w:sz w:val="20"/>
          <w:szCs w:val="20"/>
          <w:lang w:bidi="ru-RU"/>
        </w:rPr>
        <w:t xml:space="preserve">; 2) концентрация триглицеридов ≥ 150 мг/дл; 3) концентрация холестерина ЛПВП </w:t>
      </w:r>
      <w:r w:rsidRPr="008A55D6">
        <w:rPr>
          <w:rFonts w:eastAsia="Arial"/>
          <w:sz w:val="20"/>
          <w:szCs w:val="20"/>
          <w:lang w:bidi="ru-RU"/>
        </w:rPr>
        <w:t>&lt;</w:t>
      </w:r>
      <w:r w:rsidRPr="008A55D6">
        <w:rPr>
          <w:sz w:val="20"/>
          <w:szCs w:val="20"/>
          <w:lang w:bidi="ru-RU"/>
        </w:rPr>
        <w:t xml:space="preserve"> 40 мг/дл у мужчин и </w:t>
      </w:r>
      <w:r w:rsidRPr="008A55D6">
        <w:rPr>
          <w:rFonts w:eastAsia="Arial"/>
          <w:sz w:val="20"/>
          <w:szCs w:val="20"/>
          <w:lang w:bidi="ru-RU"/>
        </w:rPr>
        <w:t>&lt;</w:t>
      </w:r>
      <w:r w:rsidRPr="008A55D6">
        <w:rPr>
          <w:sz w:val="20"/>
          <w:szCs w:val="20"/>
          <w:lang w:bidi="ru-RU"/>
        </w:rPr>
        <w:t> 50 мг/дл у женщин; 4) артериальное давление ≥ 130/85 мм рт.ст.; 5) концентрация глюкозы в плазме крови натощак ≥ 100 мг/дл.</w:t>
      </w:r>
    </w:p>
    <w:p w14:paraId="4F39FDDC" w14:textId="77777777" w:rsidR="008E0119" w:rsidRPr="008A55D6" w:rsidRDefault="00D8072A" w:rsidP="008A55D6">
      <w:pPr>
        <w:pStyle w:val="30"/>
        <w:keepNext/>
        <w:keepLines/>
        <w:numPr>
          <w:ilvl w:val="1"/>
          <w:numId w:val="1"/>
        </w:numPr>
        <w:shd w:val="clear" w:color="auto" w:fill="auto"/>
        <w:tabs>
          <w:tab w:val="left" w:pos="394"/>
        </w:tabs>
        <w:spacing w:before="120" w:after="120" w:line="240" w:lineRule="auto"/>
        <w:rPr>
          <w:i/>
          <w:sz w:val="20"/>
          <w:szCs w:val="20"/>
          <w:lang w:bidi="ru-RU"/>
        </w:rPr>
      </w:pPr>
      <w:bookmarkStart w:id="24" w:name="bookmark24"/>
      <w:bookmarkStart w:id="25" w:name="bookmark25"/>
      <w:bookmarkStart w:id="26" w:name="bookmark26"/>
      <w:r w:rsidRPr="008A55D6">
        <w:rPr>
          <w:i/>
          <w:sz w:val="20"/>
          <w:szCs w:val="20"/>
          <w:lang w:bidi="ru-RU"/>
        </w:rPr>
        <w:t>Статистический анализ</w:t>
      </w:r>
      <w:bookmarkEnd w:id="24"/>
      <w:bookmarkEnd w:id="25"/>
      <w:bookmarkEnd w:id="26"/>
    </w:p>
    <w:p w14:paraId="4F39FDDD" w14:textId="77777777" w:rsidR="008E0119" w:rsidRPr="00C81306" w:rsidRDefault="00D8072A" w:rsidP="00AD7DBA">
      <w:pPr>
        <w:pStyle w:val="1"/>
        <w:shd w:val="clear" w:color="auto" w:fill="auto"/>
        <w:ind w:firstLine="360"/>
        <w:jc w:val="both"/>
        <w:rPr>
          <w:sz w:val="20"/>
          <w:szCs w:val="20"/>
        </w:rPr>
      </w:pPr>
      <w:r w:rsidRPr="00C81306">
        <w:rPr>
          <w:sz w:val="20"/>
          <w:szCs w:val="20"/>
          <w:lang w:bidi="ru-RU"/>
        </w:rPr>
        <w:t>Характеристики участников сравнивали</w:t>
      </w:r>
      <w:r w:rsidRPr="00C81306">
        <w:rPr>
          <w:rFonts w:eastAsia="Arial"/>
          <w:sz w:val="20"/>
          <w:szCs w:val="20"/>
          <w:lang w:bidi="ru-RU"/>
        </w:rPr>
        <w:t xml:space="preserve"> </w:t>
      </w:r>
      <w:r w:rsidRPr="00C81306">
        <w:rPr>
          <w:sz w:val="20"/>
          <w:szCs w:val="20"/>
          <w:lang w:bidi="ru-RU"/>
        </w:rPr>
        <w:t>по квартилям уровня потребления калия (мг/1000 ккал). Данные были представлены в виде средних значений ± стандартные ошибки или в виде процентов (% и стандартные ошибки), после коррекции с учетом возраста с помощью прямого метода, при котором общая популяция была выбрана в качестве стандарта.  Сравнение средних значений с поправкой на возраст проводили в ходе многофакторного линейного регрессионного анализа.</w:t>
      </w:r>
    </w:p>
    <w:p w14:paraId="4F39FDDE" w14:textId="77777777" w:rsidR="008E0119" w:rsidRPr="00C81306" w:rsidRDefault="00D8072A" w:rsidP="00AD7DBA">
      <w:pPr>
        <w:pStyle w:val="1"/>
        <w:shd w:val="clear" w:color="auto" w:fill="auto"/>
        <w:ind w:firstLine="360"/>
        <w:jc w:val="both"/>
        <w:rPr>
          <w:sz w:val="20"/>
          <w:szCs w:val="20"/>
        </w:rPr>
      </w:pPr>
      <w:r w:rsidRPr="00C81306">
        <w:rPr>
          <w:sz w:val="20"/>
          <w:szCs w:val="20"/>
          <w:lang w:bidi="ru-RU"/>
        </w:rPr>
        <w:t>Многофакторный логистический регрессионный анализ был проведен для оценки отношения шансов и 95 % доверите</w:t>
      </w:r>
      <w:r w:rsidRPr="00C81306">
        <w:rPr>
          <w:rFonts w:eastAsia="Arial"/>
          <w:sz w:val="20"/>
          <w:szCs w:val="20"/>
          <w:lang w:bidi="ru-RU"/>
        </w:rPr>
        <w:t>ль</w:t>
      </w:r>
      <w:r w:rsidRPr="00C81306">
        <w:rPr>
          <w:sz w:val="20"/>
          <w:szCs w:val="20"/>
          <w:lang w:bidi="ru-RU"/>
        </w:rPr>
        <w:t xml:space="preserve">ного интервала (ДИ) развития метаболического синдрома и его отдельных компонентов в зависимости от квартилей уровня потребления калия (нижний квартиль являлся эталоном для сравнения). Для того, чтобы учесть влияние общей калорийности рациона на метаболический синдром мы использовали многофакторную модель питательной плотности пищи </w:t>
      </w:r>
      <w:r w:rsidRPr="00C81306">
        <w:rPr>
          <w:color w:val="000066"/>
          <w:sz w:val="20"/>
          <w:szCs w:val="20"/>
          <w:lang w:bidi="ru-RU"/>
        </w:rPr>
        <w:t>[25]</w:t>
      </w:r>
      <w:r w:rsidRPr="00C81306">
        <w:rPr>
          <w:sz w:val="20"/>
          <w:szCs w:val="20"/>
          <w:lang w:bidi="ru-RU"/>
        </w:rPr>
        <w:t xml:space="preserve">. Отношения шансов сначала рассчитывали после проведения коррекции с учетом возраста (дискретная переменная), пола и ИМТ (непрерывная переменная) в модели 1. Модель 2 была дополнительно скорректирована с учетом дискретных переменных — уровня образования, ежемесячного семейного дохода, уровня физической активности, а также непрерывных переменных — статуса курения и потребления алкоголя. Дополнительная коррекция с учетом общей калорийности рациона, потребления углеводов, общих жиров, пищевых </w:t>
      </w:r>
      <w:r w:rsidRPr="00C81306">
        <w:rPr>
          <w:rFonts w:eastAsia="Arial"/>
          <w:sz w:val="20"/>
          <w:szCs w:val="20"/>
          <w:lang w:bidi="ru-RU"/>
        </w:rPr>
        <w:t>во</w:t>
      </w:r>
      <w:r w:rsidRPr="00C81306">
        <w:rPr>
          <w:sz w:val="20"/>
          <w:szCs w:val="20"/>
          <w:lang w:bidi="ru-RU"/>
        </w:rPr>
        <w:t>локон, витамина С и натрия в качестве непрерывных переменных применялась в модели 3. Чтобы оценить возможное влияние  соотношения Na:K, мы также рассчитали отношения шансов развития метаболического синдрома и его составляющих по квартилям уровня потребления калия после проведения дополнительной коррекции модели 3.</w:t>
      </w:r>
    </w:p>
    <w:p w14:paraId="4F39FDDF" w14:textId="77777777" w:rsidR="008E0119" w:rsidRPr="00C81306" w:rsidRDefault="00D8072A" w:rsidP="00AD7DBA">
      <w:pPr>
        <w:pStyle w:val="1"/>
        <w:shd w:val="clear" w:color="auto" w:fill="auto"/>
        <w:ind w:firstLine="0"/>
        <w:jc w:val="both"/>
        <w:rPr>
          <w:sz w:val="20"/>
          <w:szCs w:val="20"/>
        </w:rPr>
      </w:pPr>
      <w:r w:rsidRPr="00C81306">
        <w:rPr>
          <w:sz w:val="20"/>
          <w:szCs w:val="20"/>
          <w:lang w:bidi="ru-RU"/>
        </w:rPr>
        <w:t>Указанные значения вероятности были 2-сторонними, а p-значение </w:t>
      </w:r>
      <w:r w:rsidRPr="00C81306">
        <w:rPr>
          <w:rFonts w:eastAsia="Arial"/>
          <w:sz w:val="20"/>
          <w:szCs w:val="20"/>
          <w:lang w:bidi="ru-RU"/>
        </w:rPr>
        <w:t xml:space="preserve">&lt; </w:t>
      </w:r>
      <w:r w:rsidRPr="00C81306">
        <w:rPr>
          <w:sz w:val="20"/>
          <w:szCs w:val="20"/>
          <w:lang w:bidi="ru-RU"/>
        </w:rPr>
        <w:t>0,05 считалось статистически знач</w:t>
      </w:r>
      <w:r w:rsidRPr="00C81306">
        <w:rPr>
          <w:rFonts w:eastAsia="Arial"/>
          <w:sz w:val="20"/>
          <w:szCs w:val="20"/>
          <w:lang w:bidi="ru-RU"/>
        </w:rPr>
        <w:t>им</w:t>
      </w:r>
      <w:r w:rsidRPr="00C81306">
        <w:rPr>
          <w:sz w:val="20"/>
          <w:szCs w:val="20"/>
          <w:lang w:bidi="ru-RU"/>
        </w:rPr>
        <w:t xml:space="preserve">ым. Все статистические анализы выполнялись в программе STATA 12.1 (Stata Corp., Колледж-Стейшен, Техас, США) с операторами </w:t>
      </w:r>
      <w:r w:rsidRPr="00C81306">
        <w:rPr>
          <w:rFonts w:eastAsia="Arial"/>
          <w:sz w:val="20"/>
          <w:szCs w:val="20"/>
          <w:lang w:bidi="ru-RU"/>
        </w:rPr>
        <w:t>«</w:t>
      </w:r>
      <w:r w:rsidRPr="00C81306">
        <w:rPr>
          <w:sz w:val="20"/>
          <w:szCs w:val="20"/>
          <w:lang w:bidi="ru-RU"/>
        </w:rPr>
        <w:t>svy</w:t>
      </w:r>
      <w:r w:rsidRPr="00C81306">
        <w:rPr>
          <w:rFonts w:eastAsia="Arial"/>
          <w:sz w:val="20"/>
          <w:szCs w:val="20"/>
          <w:lang w:bidi="ru-RU"/>
        </w:rPr>
        <w:t xml:space="preserve">» </w:t>
      </w:r>
      <w:r w:rsidRPr="00C81306">
        <w:rPr>
          <w:sz w:val="20"/>
          <w:szCs w:val="20"/>
          <w:lang w:bidi="ru-RU"/>
        </w:rPr>
        <w:t xml:space="preserve">для учета сложного плана выборки и включали статистический вес выборки, что позволило экстраполировать полученные результаты на всё взрослое население страны. </w:t>
      </w:r>
    </w:p>
    <w:p w14:paraId="4F39FDE0" w14:textId="77777777" w:rsidR="008E0119" w:rsidRPr="00C81306" w:rsidRDefault="00D8072A" w:rsidP="00AD7DBA">
      <w:pPr>
        <w:pStyle w:val="20"/>
        <w:keepNext/>
        <w:keepLines/>
        <w:numPr>
          <w:ilvl w:val="0"/>
          <w:numId w:val="1"/>
        </w:numPr>
        <w:shd w:val="clear" w:color="auto" w:fill="auto"/>
        <w:tabs>
          <w:tab w:val="left" w:pos="274"/>
        </w:tabs>
        <w:spacing w:before="120" w:after="120"/>
        <w:rPr>
          <w:rFonts w:ascii="Times New Roman" w:hAnsi="Times New Roman" w:cs="Times New Roman"/>
          <w:b/>
          <w:sz w:val="20"/>
          <w:szCs w:val="20"/>
        </w:rPr>
      </w:pPr>
      <w:bookmarkStart w:id="27" w:name="bookmark27"/>
      <w:bookmarkStart w:id="28" w:name="bookmark28"/>
      <w:bookmarkStart w:id="29" w:name="bookmark29"/>
      <w:r w:rsidRPr="00C81306">
        <w:rPr>
          <w:rFonts w:ascii="Times New Roman" w:hAnsi="Times New Roman" w:cs="Times New Roman"/>
          <w:b/>
          <w:sz w:val="20"/>
          <w:szCs w:val="20"/>
          <w:lang w:bidi="ru-RU"/>
        </w:rPr>
        <w:t>Результаты</w:t>
      </w:r>
      <w:bookmarkEnd w:id="27"/>
      <w:bookmarkEnd w:id="28"/>
      <w:bookmarkEnd w:id="29"/>
    </w:p>
    <w:p w14:paraId="4F39FDE1" w14:textId="52F47F72" w:rsidR="008E0119" w:rsidRPr="00C81306" w:rsidRDefault="00D8072A" w:rsidP="00C81306">
      <w:pPr>
        <w:pStyle w:val="30"/>
        <w:keepNext/>
        <w:keepLines/>
        <w:numPr>
          <w:ilvl w:val="1"/>
          <w:numId w:val="1"/>
        </w:numPr>
        <w:shd w:val="clear" w:color="auto" w:fill="auto"/>
        <w:tabs>
          <w:tab w:val="left" w:pos="394"/>
        </w:tabs>
        <w:spacing w:before="120" w:after="120" w:line="240" w:lineRule="auto"/>
        <w:rPr>
          <w:i/>
          <w:sz w:val="20"/>
          <w:szCs w:val="20"/>
          <w:lang w:bidi="ru-RU"/>
        </w:rPr>
      </w:pPr>
      <w:bookmarkStart w:id="30" w:name="bookmark30"/>
      <w:bookmarkStart w:id="31" w:name="bookmark31"/>
      <w:bookmarkStart w:id="32" w:name="bookmark32"/>
      <w:r w:rsidRPr="00C81306">
        <w:rPr>
          <w:i/>
          <w:sz w:val="20"/>
          <w:szCs w:val="20"/>
          <w:lang w:bidi="ru-RU"/>
        </w:rPr>
        <w:t>Характеристики исследуемой выборки</w:t>
      </w:r>
      <w:bookmarkEnd w:id="30"/>
      <w:bookmarkEnd w:id="31"/>
      <w:bookmarkEnd w:id="32"/>
    </w:p>
    <w:p w14:paraId="4F39FDE2" w14:textId="49631E17" w:rsidR="008E0119" w:rsidRPr="00C81306" w:rsidRDefault="00D8072A" w:rsidP="00AD7DBA">
      <w:pPr>
        <w:pStyle w:val="1"/>
        <w:shd w:val="clear" w:color="auto" w:fill="auto"/>
        <w:ind w:firstLine="360"/>
        <w:jc w:val="both"/>
        <w:rPr>
          <w:sz w:val="20"/>
          <w:szCs w:val="20"/>
        </w:rPr>
      </w:pPr>
      <w:r w:rsidRPr="00C81306">
        <w:rPr>
          <w:sz w:val="20"/>
          <w:szCs w:val="20"/>
          <w:lang w:bidi="ru-RU"/>
        </w:rPr>
        <w:t>Распространенность метаболического синдрома с поправкой на возраст составила 18,1 ± 0,6 % от взвешенной общей выборки, в которой метаболический синдром наблюдался у 20,6 ± 1,0 % мужчин и 16,3 ± 1,0 % женщин. Участники с метаболическим синдромом потребляли значите</w:t>
      </w:r>
      <w:r w:rsidRPr="00C81306">
        <w:rPr>
          <w:rFonts w:eastAsia="Arial"/>
          <w:sz w:val="20"/>
          <w:szCs w:val="20"/>
          <w:lang w:bidi="ru-RU"/>
        </w:rPr>
        <w:t>ль</w:t>
      </w:r>
      <w:r w:rsidRPr="00C81306">
        <w:rPr>
          <w:sz w:val="20"/>
          <w:szCs w:val="20"/>
          <w:lang w:bidi="ru-RU"/>
        </w:rPr>
        <w:t xml:space="preserve">но меньше калия, чем участники без метаболического синдрома (скорректированные на возраст средние, 1616,2 ± 11,1 и 1586,2 ± 28,4 мг/1000 ккал, соответственно). Демографические и социально-экономические характеристики участников и их рациона представлены по квартилям уровня потребления калия в </w:t>
      </w:r>
      <w:hyperlink w:anchor="bookmark36" w:tooltip="Текущий документ">
        <w:r w:rsidRPr="00C81306">
          <w:rPr>
            <w:color w:val="000066"/>
            <w:sz w:val="20"/>
            <w:szCs w:val="20"/>
            <w:lang w:bidi="ru-RU"/>
          </w:rPr>
          <w:t>таблице 1</w:t>
        </w:r>
        <w:r w:rsidRPr="00C81306">
          <w:rPr>
            <w:sz w:val="20"/>
            <w:szCs w:val="20"/>
            <w:lang w:bidi="ru-RU"/>
          </w:rPr>
          <w:t>.</w:t>
        </w:r>
      </w:hyperlink>
    </w:p>
    <w:p w14:paraId="4F39FDE3" w14:textId="426B92C1" w:rsidR="008E0119" w:rsidRPr="00C81306" w:rsidRDefault="00D8072A" w:rsidP="00C81306">
      <w:pPr>
        <w:pStyle w:val="30"/>
        <w:keepNext/>
        <w:keepLines/>
        <w:numPr>
          <w:ilvl w:val="1"/>
          <w:numId w:val="1"/>
        </w:numPr>
        <w:shd w:val="clear" w:color="auto" w:fill="auto"/>
        <w:tabs>
          <w:tab w:val="left" w:pos="394"/>
        </w:tabs>
        <w:spacing w:before="120" w:after="120" w:line="240" w:lineRule="auto"/>
        <w:rPr>
          <w:i/>
          <w:sz w:val="20"/>
          <w:szCs w:val="20"/>
          <w:lang w:bidi="ru-RU"/>
        </w:rPr>
      </w:pPr>
      <w:bookmarkStart w:id="33" w:name="bookmark33"/>
      <w:bookmarkStart w:id="34" w:name="bookmark34"/>
      <w:bookmarkStart w:id="35" w:name="bookmark35"/>
      <w:r w:rsidRPr="00C81306">
        <w:rPr>
          <w:i/>
          <w:sz w:val="20"/>
          <w:szCs w:val="20"/>
          <w:lang w:bidi="ru-RU"/>
        </w:rPr>
        <w:t>Отношения шансов развития метаболического синдрома и его компонентов</w:t>
      </w:r>
      <w:bookmarkEnd w:id="33"/>
      <w:bookmarkEnd w:id="34"/>
      <w:bookmarkEnd w:id="35"/>
    </w:p>
    <w:p w14:paraId="4F39FDE4" w14:textId="7A8632A4" w:rsidR="00AD7DBA" w:rsidRPr="00A16EEF" w:rsidRDefault="00D8072A" w:rsidP="00AD7DBA">
      <w:pPr>
        <w:pStyle w:val="a4"/>
        <w:shd w:val="clear" w:color="auto" w:fill="auto"/>
        <w:spacing w:line="240" w:lineRule="auto"/>
        <w:ind w:firstLine="360"/>
        <w:jc w:val="both"/>
      </w:pPr>
      <w:r w:rsidRPr="00A16EEF">
        <w:rPr>
          <w:sz w:val="18"/>
          <w:szCs w:val="18"/>
          <w:lang w:bidi="ru-RU"/>
        </w:rPr>
        <w:t xml:space="preserve">Отмечалась обратная зависимость между уровнем потребления калия и метаболическим синдромом, о чем свидетельствуют результаты, представленные в </w:t>
      </w:r>
      <w:hyperlink w:anchor="bookmark41" w:tooltip="Текущий документ">
        <w:r w:rsidRPr="00A16EEF">
          <w:rPr>
            <w:color w:val="000066"/>
            <w:sz w:val="18"/>
            <w:szCs w:val="18"/>
            <w:lang w:bidi="ru-RU"/>
          </w:rPr>
          <w:t>таблице 2</w:t>
        </w:r>
      </w:hyperlink>
      <w:r w:rsidRPr="00A16EEF">
        <w:rPr>
          <w:sz w:val="18"/>
          <w:szCs w:val="18"/>
          <w:lang w:bidi="ru-RU"/>
        </w:rPr>
        <w:t xml:space="preserve">. Распространенность метаболического синдрома уменьшалась по мере увеличения квартиля уровня потребления калия, а у участников в верхнем квартиле шансы развития метаболического синдрома были на 39 % ниже, чем в нижнем квартиле, после коррекции с учетом различных потенциальных искажающих факторов в модели 3 (скорректированное </w:t>
      </w:r>
      <w:r w:rsidRPr="00A16EEF">
        <w:rPr>
          <w:sz w:val="18"/>
          <w:szCs w:val="18"/>
          <w:lang w:bidi="ru-RU"/>
        </w:rPr>
        <w:lastRenderedPageBreak/>
        <w:t>отношение шансов [ОШ</w:t>
      </w:r>
      <w:r w:rsidRPr="00A16EEF">
        <w:rPr>
          <w:sz w:val="18"/>
          <w:szCs w:val="18"/>
          <w:vertAlign w:val="subscript"/>
          <w:lang w:bidi="ru-RU"/>
        </w:rPr>
        <w:t>корр</w:t>
      </w:r>
      <w:r w:rsidRPr="00A16EEF">
        <w:rPr>
          <w:sz w:val="18"/>
          <w:szCs w:val="18"/>
          <w:lang w:bidi="ru-RU"/>
        </w:rPr>
        <w:t>] </w:t>
      </w:r>
      <w:r w:rsidRPr="00A16EEF">
        <w:rPr>
          <w:sz w:val="16"/>
          <w:szCs w:val="16"/>
          <w:lang w:bidi="ru-RU"/>
        </w:rPr>
        <w:t xml:space="preserve">= </w:t>
      </w:r>
      <w:r w:rsidRPr="00A16EEF">
        <w:rPr>
          <w:sz w:val="18"/>
          <w:szCs w:val="18"/>
          <w:lang w:bidi="ru-RU"/>
        </w:rPr>
        <w:t>0,61; 95 % ДИ 0,42</w:t>
      </w:r>
      <w:r w:rsidR="00CD19C1" w:rsidRPr="00A16EEF">
        <w:rPr>
          <w:rFonts w:eastAsia="Arial"/>
          <w:sz w:val="15"/>
          <w:szCs w:val="15"/>
          <w:lang w:bidi="ru-RU"/>
        </w:rPr>
        <w:t>–</w:t>
      </w:r>
      <w:r w:rsidRPr="00A16EEF">
        <w:rPr>
          <w:sz w:val="18"/>
          <w:szCs w:val="18"/>
          <w:lang w:bidi="ru-RU"/>
        </w:rPr>
        <w:t xml:space="preserve">0,89; </w:t>
      </w:r>
      <w:r w:rsidRPr="00A16EEF">
        <w:rPr>
          <w:sz w:val="16"/>
          <w:szCs w:val="16"/>
          <w:lang w:bidi="ru-RU"/>
        </w:rPr>
        <w:t xml:space="preserve">p = </w:t>
      </w:r>
      <w:r w:rsidRPr="00A16EEF">
        <w:rPr>
          <w:sz w:val="18"/>
          <w:szCs w:val="18"/>
          <w:lang w:bidi="ru-RU"/>
        </w:rPr>
        <w:t xml:space="preserve">0,010; </w:t>
      </w:r>
      <w:r w:rsidRPr="00A16EEF">
        <w:rPr>
          <w:sz w:val="16"/>
          <w:szCs w:val="16"/>
          <w:lang w:bidi="ru-RU"/>
        </w:rPr>
        <w:t xml:space="preserve">p </w:t>
      </w:r>
      <w:r w:rsidRPr="00A16EEF">
        <w:rPr>
          <w:sz w:val="18"/>
          <w:szCs w:val="18"/>
          <w:lang w:bidi="ru-RU"/>
        </w:rPr>
        <w:t>для тенденции </w:t>
      </w:r>
      <w:r w:rsidRPr="00A16EEF">
        <w:rPr>
          <w:sz w:val="16"/>
          <w:szCs w:val="16"/>
          <w:lang w:bidi="ru-RU"/>
        </w:rPr>
        <w:t xml:space="preserve">= </w:t>
      </w:r>
      <w:r w:rsidRPr="00A16EEF">
        <w:rPr>
          <w:sz w:val="18"/>
          <w:szCs w:val="18"/>
          <w:lang w:bidi="ru-RU"/>
        </w:rPr>
        <w:t>0,013). Более того, была выявлена обратная зависимость между уровнем потребления калия и отдельными составляющими метаболического синдрома, особенно, абдоминальным</w:t>
      </w:r>
    </w:p>
    <w:p w14:paraId="4F39FDE5" w14:textId="77777777" w:rsidR="00AD7DBA" w:rsidRPr="00A16EEF" w:rsidRDefault="00AD7DBA" w:rsidP="00AD7DBA">
      <w:pPr>
        <w:pStyle w:val="a4"/>
        <w:shd w:val="clear" w:color="auto" w:fill="auto"/>
        <w:spacing w:line="240" w:lineRule="auto"/>
        <w:jc w:val="both"/>
      </w:pPr>
    </w:p>
    <w:p w14:paraId="4F39FDE6" w14:textId="77777777" w:rsidR="008E0119" w:rsidRPr="00C81306" w:rsidRDefault="00D8072A" w:rsidP="00AD7DBA">
      <w:pPr>
        <w:pStyle w:val="a4"/>
        <w:shd w:val="clear" w:color="auto" w:fill="auto"/>
        <w:spacing w:line="240" w:lineRule="auto"/>
        <w:jc w:val="both"/>
        <w:rPr>
          <w:b/>
          <w:sz w:val="16"/>
          <w:szCs w:val="16"/>
        </w:rPr>
      </w:pPr>
      <w:r w:rsidRPr="00C81306">
        <w:rPr>
          <w:rFonts w:eastAsia="Arial"/>
          <w:b/>
          <w:sz w:val="16"/>
          <w:szCs w:val="16"/>
          <w:lang w:bidi="ru-RU"/>
        </w:rPr>
        <w:t>Таблица 1</w:t>
      </w:r>
    </w:p>
    <w:p w14:paraId="4F39FDE7" w14:textId="77777777" w:rsidR="008E0119" w:rsidRPr="00C81306" w:rsidRDefault="00D8072A">
      <w:pPr>
        <w:pStyle w:val="a4"/>
        <w:shd w:val="clear" w:color="auto" w:fill="auto"/>
        <w:spacing w:line="240" w:lineRule="auto"/>
        <w:rPr>
          <w:sz w:val="16"/>
          <w:szCs w:val="16"/>
        </w:rPr>
      </w:pPr>
      <w:r w:rsidRPr="00C81306">
        <w:rPr>
          <w:sz w:val="16"/>
          <w:szCs w:val="16"/>
          <w:lang w:bidi="ru-RU"/>
        </w:rPr>
        <w:t>Характеристики участников в соответствии с квартилями уровня потребления калия.</w:t>
      </w:r>
    </w:p>
    <w:tbl>
      <w:tblPr>
        <w:tblOverlap w:val="never"/>
        <w:tblW w:w="5000" w:type="pct"/>
        <w:tblCellMar>
          <w:top w:w="17" w:type="dxa"/>
          <w:left w:w="17" w:type="dxa"/>
          <w:bottom w:w="17" w:type="dxa"/>
          <w:right w:w="17" w:type="dxa"/>
        </w:tblCellMar>
        <w:tblLook w:val="0000" w:firstRow="0" w:lastRow="0" w:firstColumn="0" w:lastColumn="0" w:noHBand="0" w:noVBand="0"/>
      </w:tblPr>
      <w:tblGrid>
        <w:gridCol w:w="3622"/>
        <w:gridCol w:w="1618"/>
        <w:gridCol w:w="2017"/>
        <w:gridCol w:w="2076"/>
        <w:gridCol w:w="1239"/>
      </w:tblGrid>
      <w:tr w:rsidR="008E0119" w:rsidRPr="00C81306" w14:paraId="4F39FDEA" w14:textId="77777777" w:rsidTr="00CD19C1">
        <w:trPr>
          <w:trHeight w:val="113"/>
        </w:trPr>
        <w:tc>
          <w:tcPr>
            <w:tcW w:w="1713" w:type="pct"/>
            <w:vMerge w:val="restart"/>
            <w:tcBorders>
              <w:top w:val="single" w:sz="4" w:space="0" w:color="auto"/>
            </w:tcBorders>
            <w:shd w:val="clear" w:color="auto" w:fill="FFFFFF"/>
            <w:vAlign w:val="center"/>
          </w:tcPr>
          <w:p w14:paraId="4F39FDE8" w14:textId="77777777" w:rsidR="008E0119" w:rsidRPr="00C81306" w:rsidRDefault="008E0119" w:rsidP="00CD19C1">
            <w:pPr>
              <w:rPr>
                <w:rFonts w:ascii="Times New Roman" w:hAnsi="Times New Roman" w:cs="Times New Roman"/>
                <w:sz w:val="16"/>
                <w:szCs w:val="16"/>
              </w:rPr>
            </w:pPr>
          </w:p>
        </w:tc>
        <w:tc>
          <w:tcPr>
            <w:tcW w:w="3287" w:type="pct"/>
            <w:gridSpan w:val="4"/>
            <w:tcBorders>
              <w:top w:val="single" w:sz="4" w:space="0" w:color="auto"/>
            </w:tcBorders>
            <w:shd w:val="clear" w:color="auto" w:fill="FFFFFF"/>
            <w:vAlign w:val="center"/>
          </w:tcPr>
          <w:p w14:paraId="4F39FDE9" w14:textId="77777777" w:rsidR="008E0119" w:rsidRPr="00C81306" w:rsidRDefault="00D8072A" w:rsidP="00CD19C1">
            <w:pPr>
              <w:pStyle w:val="a6"/>
              <w:shd w:val="clear" w:color="auto" w:fill="auto"/>
              <w:ind w:firstLine="0"/>
              <w:rPr>
                <w:sz w:val="16"/>
                <w:szCs w:val="16"/>
              </w:rPr>
            </w:pPr>
            <w:r w:rsidRPr="00C81306">
              <w:rPr>
                <w:sz w:val="16"/>
                <w:szCs w:val="16"/>
                <w:lang w:bidi="ru-RU"/>
              </w:rPr>
              <w:t>Уровень потребления калия</w:t>
            </w:r>
          </w:p>
        </w:tc>
      </w:tr>
      <w:tr w:rsidR="008E0119" w:rsidRPr="00C81306" w14:paraId="4F39FDF0" w14:textId="77777777" w:rsidTr="00CD19C1">
        <w:trPr>
          <w:trHeight w:val="113"/>
        </w:trPr>
        <w:tc>
          <w:tcPr>
            <w:tcW w:w="1713" w:type="pct"/>
            <w:vMerge/>
            <w:shd w:val="clear" w:color="auto" w:fill="FFFFFF"/>
            <w:vAlign w:val="center"/>
          </w:tcPr>
          <w:p w14:paraId="4F39FDEB" w14:textId="77777777" w:rsidR="008E0119" w:rsidRPr="00C81306" w:rsidRDefault="008E0119" w:rsidP="00CD19C1">
            <w:pPr>
              <w:rPr>
                <w:rFonts w:ascii="Times New Roman" w:hAnsi="Times New Roman" w:cs="Times New Roman"/>
                <w:sz w:val="16"/>
                <w:szCs w:val="16"/>
              </w:rPr>
            </w:pPr>
          </w:p>
        </w:tc>
        <w:tc>
          <w:tcPr>
            <w:tcW w:w="765" w:type="pct"/>
            <w:tcBorders>
              <w:top w:val="single" w:sz="4" w:space="0" w:color="auto"/>
            </w:tcBorders>
            <w:shd w:val="clear" w:color="auto" w:fill="FFFFFF"/>
            <w:vAlign w:val="center"/>
          </w:tcPr>
          <w:p w14:paraId="4F39FDEC"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1</w:t>
            </w:r>
          </w:p>
        </w:tc>
        <w:tc>
          <w:tcPr>
            <w:tcW w:w="954" w:type="pct"/>
            <w:tcBorders>
              <w:top w:val="single" w:sz="4" w:space="0" w:color="auto"/>
            </w:tcBorders>
            <w:shd w:val="clear" w:color="auto" w:fill="FFFFFF"/>
            <w:vAlign w:val="center"/>
          </w:tcPr>
          <w:p w14:paraId="4F39FDED"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2</w:t>
            </w:r>
          </w:p>
        </w:tc>
        <w:tc>
          <w:tcPr>
            <w:tcW w:w="982" w:type="pct"/>
            <w:tcBorders>
              <w:top w:val="single" w:sz="4" w:space="0" w:color="auto"/>
            </w:tcBorders>
            <w:shd w:val="clear" w:color="auto" w:fill="FFFFFF"/>
            <w:vAlign w:val="center"/>
          </w:tcPr>
          <w:p w14:paraId="4F39FDEE"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3</w:t>
            </w:r>
          </w:p>
        </w:tc>
        <w:tc>
          <w:tcPr>
            <w:tcW w:w="586" w:type="pct"/>
            <w:tcBorders>
              <w:top w:val="single" w:sz="4" w:space="0" w:color="auto"/>
            </w:tcBorders>
            <w:shd w:val="clear" w:color="auto" w:fill="FFFFFF"/>
            <w:vAlign w:val="center"/>
          </w:tcPr>
          <w:p w14:paraId="4F39FDEF"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4</w:t>
            </w:r>
          </w:p>
        </w:tc>
      </w:tr>
      <w:tr w:rsidR="008E0119" w:rsidRPr="00C81306" w14:paraId="4F39FDF6" w14:textId="77777777" w:rsidTr="00CD19C1">
        <w:trPr>
          <w:trHeight w:val="57"/>
        </w:trPr>
        <w:tc>
          <w:tcPr>
            <w:tcW w:w="1713" w:type="pct"/>
            <w:tcBorders>
              <w:top w:val="single" w:sz="4" w:space="0" w:color="auto"/>
            </w:tcBorders>
            <w:shd w:val="clear" w:color="auto" w:fill="FFFFFF"/>
            <w:vAlign w:val="center"/>
          </w:tcPr>
          <w:p w14:paraId="4F39FDF1" w14:textId="0951B910" w:rsidR="008E0119" w:rsidRPr="00C81306" w:rsidRDefault="00D8072A" w:rsidP="00CD19C1">
            <w:pPr>
              <w:pStyle w:val="a6"/>
              <w:shd w:val="clear" w:color="auto" w:fill="auto"/>
              <w:ind w:firstLine="0"/>
              <w:rPr>
                <w:sz w:val="16"/>
                <w:szCs w:val="16"/>
              </w:rPr>
            </w:pPr>
            <w:bookmarkStart w:id="36" w:name="bookmark36"/>
            <w:r w:rsidRPr="00C81306">
              <w:rPr>
                <w:sz w:val="16"/>
                <w:szCs w:val="16"/>
                <w:lang w:bidi="ru-RU"/>
              </w:rPr>
              <w:t>Медиана уровня потребления калия</w:t>
            </w:r>
            <w:hyperlink w:anchor="bookmark37" w:tooltip="Текущий документ">
              <w:r w:rsidRPr="00C81306">
                <w:rPr>
                  <w:color w:val="000066"/>
                  <w:sz w:val="16"/>
                  <w:szCs w:val="16"/>
                  <w:vertAlign w:val="superscript"/>
                  <w:lang w:bidi="ru-RU"/>
                </w:rPr>
                <w:t>a</w:t>
              </w:r>
            </w:hyperlink>
            <w:r w:rsidRPr="00C81306">
              <w:rPr>
                <w:sz w:val="16"/>
                <w:szCs w:val="16"/>
                <w:lang w:bidi="ru-RU"/>
              </w:rPr>
              <w:t xml:space="preserve"> (диапазон, мг/1000 ккал)</w:t>
            </w:r>
            <w:bookmarkEnd w:id="36"/>
          </w:p>
        </w:tc>
        <w:tc>
          <w:tcPr>
            <w:tcW w:w="765" w:type="pct"/>
            <w:tcBorders>
              <w:top w:val="single" w:sz="4" w:space="0" w:color="auto"/>
            </w:tcBorders>
            <w:shd w:val="clear" w:color="auto" w:fill="FFFFFF"/>
            <w:vAlign w:val="center"/>
          </w:tcPr>
          <w:p w14:paraId="4F39FDF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1055,1 (&lt; 1237,6)</w:t>
            </w:r>
          </w:p>
        </w:tc>
        <w:tc>
          <w:tcPr>
            <w:tcW w:w="954" w:type="pct"/>
            <w:tcBorders>
              <w:top w:val="single" w:sz="4" w:space="0" w:color="auto"/>
            </w:tcBorders>
            <w:shd w:val="clear" w:color="auto" w:fill="FFFFFF"/>
            <w:vAlign w:val="center"/>
          </w:tcPr>
          <w:p w14:paraId="4F39FDF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1387,7 (1237,6–1533,9)</w:t>
            </w:r>
          </w:p>
        </w:tc>
        <w:tc>
          <w:tcPr>
            <w:tcW w:w="982" w:type="pct"/>
            <w:tcBorders>
              <w:top w:val="single" w:sz="4" w:space="0" w:color="auto"/>
            </w:tcBorders>
            <w:shd w:val="clear" w:color="auto" w:fill="FFFFFF"/>
            <w:vAlign w:val="center"/>
          </w:tcPr>
          <w:p w14:paraId="4F39FDF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1693,6 (1534,0–1904,8)</w:t>
            </w:r>
          </w:p>
        </w:tc>
        <w:tc>
          <w:tcPr>
            <w:tcW w:w="586" w:type="pct"/>
            <w:tcBorders>
              <w:top w:val="single" w:sz="4" w:space="0" w:color="auto"/>
            </w:tcBorders>
            <w:shd w:val="clear" w:color="auto" w:fill="FFFFFF"/>
            <w:vAlign w:val="center"/>
          </w:tcPr>
          <w:p w14:paraId="4F39FDF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2229,2 (≥ 1904,9)</w:t>
            </w:r>
          </w:p>
        </w:tc>
      </w:tr>
      <w:tr w:rsidR="008E0119" w:rsidRPr="00C81306" w14:paraId="4F39FDFC" w14:textId="77777777" w:rsidTr="00CD19C1">
        <w:trPr>
          <w:trHeight w:val="57"/>
        </w:trPr>
        <w:tc>
          <w:tcPr>
            <w:tcW w:w="1713" w:type="pct"/>
            <w:shd w:val="clear" w:color="auto" w:fill="FFFFFF"/>
            <w:vAlign w:val="center"/>
          </w:tcPr>
          <w:p w14:paraId="4F39FDF7" w14:textId="1F355B7A" w:rsidR="008E0119" w:rsidRPr="00C81306" w:rsidRDefault="00D8072A" w:rsidP="00CD19C1">
            <w:pPr>
              <w:pStyle w:val="a6"/>
              <w:shd w:val="clear" w:color="auto" w:fill="auto"/>
              <w:ind w:firstLine="0"/>
              <w:rPr>
                <w:sz w:val="16"/>
                <w:szCs w:val="16"/>
              </w:rPr>
            </w:pPr>
            <w:r w:rsidRPr="00C81306">
              <w:rPr>
                <w:sz w:val="16"/>
                <w:szCs w:val="16"/>
                <w:lang w:bidi="ru-RU"/>
              </w:rPr>
              <w:t>Возраст</w:t>
            </w:r>
            <w:hyperlink w:anchor="bookmark37" w:tooltip="Текущий документ">
              <w:r w:rsidRPr="00C81306">
                <w:rPr>
                  <w:color w:val="000066"/>
                  <w:sz w:val="16"/>
                  <w:szCs w:val="16"/>
                  <w:vertAlign w:val="superscript"/>
                  <w:lang w:bidi="ru-RU"/>
                </w:rPr>
                <w:t>a</w:t>
              </w:r>
            </w:hyperlink>
            <w:r w:rsidRPr="00C81306">
              <w:rPr>
                <w:sz w:val="16"/>
                <w:szCs w:val="16"/>
                <w:lang w:bidi="ru-RU"/>
              </w:rPr>
              <w:t xml:space="preserve"> (лет)</w:t>
            </w:r>
          </w:p>
        </w:tc>
        <w:tc>
          <w:tcPr>
            <w:tcW w:w="765" w:type="pct"/>
            <w:shd w:val="clear" w:color="auto" w:fill="FFFFFF"/>
            <w:vAlign w:val="center"/>
          </w:tcPr>
          <w:p w14:paraId="4F39FDF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47,5 ± 0,4</w:t>
            </w:r>
          </w:p>
        </w:tc>
        <w:tc>
          <w:tcPr>
            <w:tcW w:w="954" w:type="pct"/>
            <w:shd w:val="clear" w:color="auto" w:fill="FFFFFF"/>
            <w:vAlign w:val="center"/>
          </w:tcPr>
          <w:p w14:paraId="4F39FDF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44,6 ± 0,3</w:t>
            </w:r>
          </w:p>
        </w:tc>
        <w:tc>
          <w:tcPr>
            <w:tcW w:w="982" w:type="pct"/>
            <w:shd w:val="clear" w:color="auto" w:fill="FFFFFF"/>
            <w:vAlign w:val="center"/>
          </w:tcPr>
          <w:p w14:paraId="4F39FDF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45,8 ± 0,3</w:t>
            </w:r>
          </w:p>
        </w:tc>
        <w:tc>
          <w:tcPr>
            <w:tcW w:w="586" w:type="pct"/>
            <w:shd w:val="clear" w:color="auto" w:fill="FFFFFF"/>
            <w:vAlign w:val="center"/>
          </w:tcPr>
          <w:p w14:paraId="4F39FDF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47,0 ± 0,3</w:t>
            </w:r>
          </w:p>
        </w:tc>
      </w:tr>
      <w:tr w:rsidR="008E0119" w:rsidRPr="00C81306" w14:paraId="4F39FE02" w14:textId="77777777" w:rsidTr="00CD19C1">
        <w:trPr>
          <w:trHeight w:val="57"/>
        </w:trPr>
        <w:tc>
          <w:tcPr>
            <w:tcW w:w="1713" w:type="pct"/>
            <w:shd w:val="clear" w:color="auto" w:fill="FFFFFF"/>
            <w:vAlign w:val="center"/>
          </w:tcPr>
          <w:p w14:paraId="4F39FDFD" w14:textId="77777777" w:rsidR="008E0119" w:rsidRPr="00C81306" w:rsidRDefault="00D8072A" w:rsidP="00CD19C1">
            <w:pPr>
              <w:pStyle w:val="a6"/>
              <w:shd w:val="clear" w:color="auto" w:fill="auto"/>
              <w:ind w:firstLine="0"/>
              <w:rPr>
                <w:sz w:val="16"/>
                <w:szCs w:val="16"/>
              </w:rPr>
            </w:pPr>
            <w:r w:rsidRPr="00C81306">
              <w:rPr>
                <w:sz w:val="16"/>
                <w:szCs w:val="16"/>
                <w:lang w:bidi="ru-RU"/>
              </w:rPr>
              <w:t>ИМТ (кг/м</w:t>
            </w:r>
            <w:r w:rsidRPr="00C81306">
              <w:rPr>
                <w:sz w:val="16"/>
                <w:szCs w:val="16"/>
                <w:vertAlign w:val="superscript"/>
                <w:lang w:bidi="ru-RU"/>
              </w:rPr>
              <w:t>2</w:t>
            </w:r>
            <w:r w:rsidRPr="00C81306">
              <w:rPr>
                <w:sz w:val="16"/>
                <w:szCs w:val="16"/>
                <w:lang w:bidi="ru-RU"/>
              </w:rPr>
              <w:t>)</w:t>
            </w:r>
          </w:p>
        </w:tc>
        <w:tc>
          <w:tcPr>
            <w:tcW w:w="765" w:type="pct"/>
            <w:shd w:val="clear" w:color="auto" w:fill="FFFFFF"/>
            <w:vAlign w:val="center"/>
          </w:tcPr>
          <w:p w14:paraId="4F39FDF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23,2 ± 0,1</w:t>
            </w:r>
          </w:p>
        </w:tc>
        <w:tc>
          <w:tcPr>
            <w:tcW w:w="954" w:type="pct"/>
            <w:shd w:val="clear" w:color="auto" w:fill="FFFFFF"/>
            <w:vAlign w:val="center"/>
          </w:tcPr>
          <w:p w14:paraId="4F39FDF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23,2 ± 0,1</w:t>
            </w:r>
          </w:p>
        </w:tc>
        <w:tc>
          <w:tcPr>
            <w:tcW w:w="982" w:type="pct"/>
            <w:shd w:val="clear" w:color="auto" w:fill="FFFFFF"/>
            <w:vAlign w:val="center"/>
          </w:tcPr>
          <w:p w14:paraId="4F39FE0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23,2 ± 0,1</w:t>
            </w:r>
          </w:p>
        </w:tc>
        <w:tc>
          <w:tcPr>
            <w:tcW w:w="586" w:type="pct"/>
            <w:shd w:val="clear" w:color="auto" w:fill="FFFFFF"/>
            <w:vAlign w:val="center"/>
          </w:tcPr>
          <w:p w14:paraId="4F39FE0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23,5 ± 0,1</w:t>
            </w:r>
          </w:p>
        </w:tc>
      </w:tr>
      <w:tr w:rsidR="008E0119" w:rsidRPr="00C81306" w14:paraId="4F39FE08" w14:textId="77777777" w:rsidTr="00CD19C1">
        <w:trPr>
          <w:trHeight w:val="57"/>
        </w:trPr>
        <w:tc>
          <w:tcPr>
            <w:tcW w:w="1713" w:type="pct"/>
            <w:shd w:val="clear" w:color="auto" w:fill="FFFFFF"/>
            <w:vAlign w:val="center"/>
          </w:tcPr>
          <w:p w14:paraId="4F39FE03" w14:textId="77777777" w:rsidR="008E0119" w:rsidRPr="00C81306" w:rsidRDefault="00D8072A" w:rsidP="00CD19C1">
            <w:pPr>
              <w:pStyle w:val="a6"/>
              <w:shd w:val="clear" w:color="auto" w:fill="auto"/>
              <w:ind w:firstLine="0"/>
              <w:rPr>
                <w:sz w:val="16"/>
                <w:szCs w:val="16"/>
              </w:rPr>
            </w:pPr>
            <w:r w:rsidRPr="00C81306">
              <w:rPr>
                <w:sz w:val="16"/>
                <w:szCs w:val="16"/>
                <w:lang w:bidi="ru-RU"/>
              </w:rPr>
              <w:t>Уровень образования (%)</w:t>
            </w:r>
          </w:p>
        </w:tc>
        <w:tc>
          <w:tcPr>
            <w:tcW w:w="765" w:type="pct"/>
            <w:shd w:val="clear" w:color="auto" w:fill="FFFFFF"/>
            <w:vAlign w:val="center"/>
          </w:tcPr>
          <w:p w14:paraId="4F39FE04" w14:textId="77777777" w:rsidR="008E0119" w:rsidRPr="00C81306" w:rsidRDefault="008E0119" w:rsidP="00CD19C1">
            <w:pPr>
              <w:jc w:val="center"/>
              <w:rPr>
                <w:rFonts w:ascii="Times New Roman" w:hAnsi="Times New Roman" w:cs="Times New Roman"/>
                <w:sz w:val="16"/>
                <w:szCs w:val="16"/>
              </w:rPr>
            </w:pPr>
          </w:p>
        </w:tc>
        <w:tc>
          <w:tcPr>
            <w:tcW w:w="954" w:type="pct"/>
            <w:shd w:val="clear" w:color="auto" w:fill="FFFFFF"/>
            <w:vAlign w:val="center"/>
          </w:tcPr>
          <w:p w14:paraId="4F39FE05" w14:textId="77777777" w:rsidR="008E0119" w:rsidRPr="00C81306" w:rsidRDefault="008E0119" w:rsidP="00CD19C1">
            <w:pPr>
              <w:jc w:val="center"/>
              <w:rPr>
                <w:rFonts w:ascii="Times New Roman" w:hAnsi="Times New Roman" w:cs="Times New Roman"/>
                <w:sz w:val="16"/>
                <w:szCs w:val="16"/>
              </w:rPr>
            </w:pPr>
          </w:p>
        </w:tc>
        <w:tc>
          <w:tcPr>
            <w:tcW w:w="982" w:type="pct"/>
            <w:shd w:val="clear" w:color="auto" w:fill="FFFFFF"/>
            <w:vAlign w:val="center"/>
          </w:tcPr>
          <w:p w14:paraId="4F39FE06" w14:textId="77777777" w:rsidR="008E0119" w:rsidRPr="00C81306" w:rsidRDefault="008E0119" w:rsidP="00CD19C1">
            <w:pPr>
              <w:jc w:val="center"/>
              <w:rPr>
                <w:rFonts w:ascii="Times New Roman" w:hAnsi="Times New Roman" w:cs="Times New Roman"/>
                <w:sz w:val="16"/>
                <w:szCs w:val="16"/>
              </w:rPr>
            </w:pPr>
          </w:p>
        </w:tc>
        <w:tc>
          <w:tcPr>
            <w:tcW w:w="586" w:type="pct"/>
            <w:shd w:val="clear" w:color="auto" w:fill="FFFFFF"/>
            <w:vAlign w:val="center"/>
          </w:tcPr>
          <w:p w14:paraId="4F39FE07" w14:textId="77777777" w:rsidR="008E0119" w:rsidRPr="00C81306" w:rsidRDefault="008E0119" w:rsidP="00CD19C1">
            <w:pPr>
              <w:jc w:val="center"/>
              <w:rPr>
                <w:rFonts w:ascii="Times New Roman" w:hAnsi="Times New Roman" w:cs="Times New Roman"/>
                <w:sz w:val="16"/>
                <w:szCs w:val="16"/>
              </w:rPr>
            </w:pPr>
          </w:p>
        </w:tc>
      </w:tr>
      <w:tr w:rsidR="008E0119" w:rsidRPr="00C81306" w14:paraId="4F39FE0E" w14:textId="77777777" w:rsidTr="00CD19C1">
        <w:trPr>
          <w:trHeight w:val="57"/>
        </w:trPr>
        <w:tc>
          <w:tcPr>
            <w:tcW w:w="1713" w:type="pct"/>
            <w:shd w:val="clear" w:color="auto" w:fill="FFFFFF"/>
            <w:vAlign w:val="center"/>
          </w:tcPr>
          <w:p w14:paraId="4F39FE09" w14:textId="77777777" w:rsidR="008E0119" w:rsidRPr="00C81306" w:rsidRDefault="00D8072A" w:rsidP="00CD19C1">
            <w:pPr>
              <w:pStyle w:val="a6"/>
              <w:shd w:val="clear" w:color="auto" w:fill="auto"/>
              <w:ind w:left="142" w:firstLine="0"/>
              <w:rPr>
                <w:sz w:val="16"/>
                <w:szCs w:val="16"/>
              </w:rPr>
            </w:pPr>
            <w:r w:rsidRPr="00C81306">
              <w:rPr>
                <w:rFonts w:eastAsia="Arial"/>
                <w:sz w:val="16"/>
                <w:szCs w:val="16"/>
                <w:lang w:bidi="ru-RU"/>
              </w:rPr>
              <w:t>≤ Начальная школа</w:t>
            </w:r>
          </w:p>
        </w:tc>
        <w:tc>
          <w:tcPr>
            <w:tcW w:w="765" w:type="pct"/>
            <w:shd w:val="clear" w:color="auto" w:fill="FFFFFF"/>
            <w:vAlign w:val="center"/>
          </w:tcPr>
          <w:p w14:paraId="4F39FE0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27,5 ± 1,1</w:t>
            </w:r>
          </w:p>
        </w:tc>
        <w:tc>
          <w:tcPr>
            <w:tcW w:w="954" w:type="pct"/>
            <w:shd w:val="clear" w:color="auto" w:fill="FFFFFF"/>
            <w:vAlign w:val="center"/>
          </w:tcPr>
          <w:p w14:paraId="4F39FE0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22,4 ± 1,0</w:t>
            </w:r>
          </w:p>
        </w:tc>
        <w:tc>
          <w:tcPr>
            <w:tcW w:w="982" w:type="pct"/>
            <w:shd w:val="clear" w:color="auto" w:fill="FFFFFF"/>
            <w:vAlign w:val="center"/>
          </w:tcPr>
          <w:p w14:paraId="4F39FE0C"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21,9 ± 1,1</w:t>
            </w:r>
          </w:p>
        </w:tc>
        <w:tc>
          <w:tcPr>
            <w:tcW w:w="586" w:type="pct"/>
            <w:shd w:val="clear" w:color="auto" w:fill="FFFFFF"/>
            <w:vAlign w:val="center"/>
          </w:tcPr>
          <w:p w14:paraId="4F39FE0D"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20,6 ± 1,0</w:t>
            </w:r>
          </w:p>
        </w:tc>
      </w:tr>
      <w:tr w:rsidR="008E0119" w:rsidRPr="00C81306" w14:paraId="4F39FE14" w14:textId="77777777" w:rsidTr="00CD19C1">
        <w:trPr>
          <w:trHeight w:val="57"/>
        </w:trPr>
        <w:tc>
          <w:tcPr>
            <w:tcW w:w="1713" w:type="pct"/>
            <w:shd w:val="clear" w:color="auto" w:fill="FFFFFF"/>
            <w:vAlign w:val="center"/>
          </w:tcPr>
          <w:p w14:paraId="4F39FE0F"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Средняя школа/полный курс общеобразовательной школы</w:t>
            </w:r>
          </w:p>
        </w:tc>
        <w:tc>
          <w:tcPr>
            <w:tcW w:w="765" w:type="pct"/>
            <w:shd w:val="clear" w:color="auto" w:fill="FFFFFF"/>
            <w:vAlign w:val="center"/>
          </w:tcPr>
          <w:p w14:paraId="4F39FE1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49,3 ± 1,5</w:t>
            </w:r>
          </w:p>
        </w:tc>
        <w:tc>
          <w:tcPr>
            <w:tcW w:w="954" w:type="pct"/>
            <w:shd w:val="clear" w:color="auto" w:fill="FFFFFF"/>
            <w:vAlign w:val="center"/>
          </w:tcPr>
          <w:p w14:paraId="4F39FE1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48,9 ± 1,6</w:t>
            </w:r>
          </w:p>
        </w:tc>
        <w:tc>
          <w:tcPr>
            <w:tcW w:w="982" w:type="pct"/>
            <w:shd w:val="clear" w:color="auto" w:fill="FFFFFF"/>
            <w:vAlign w:val="center"/>
          </w:tcPr>
          <w:p w14:paraId="4F39FE1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48,5 ± 1,4</w:t>
            </w:r>
          </w:p>
        </w:tc>
        <w:tc>
          <w:tcPr>
            <w:tcW w:w="586" w:type="pct"/>
            <w:shd w:val="clear" w:color="auto" w:fill="FFFFFF"/>
            <w:vAlign w:val="center"/>
          </w:tcPr>
          <w:p w14:paraId="4F39FE1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49,1 ± 1,5</w:t>
            </w:r>
          </w:p>
        </w:tc>
      </w:tr>
      <w:tr w:rsidR="008E0119" w:rsidRPr="00C81306" w14:paraId="4F39FE1A" w14:textId="77777777" w:rsidTr="00CD19C1">
        <w:trPr>
          <w:trHeight w:val="57"/>
        </w:trPr>
        <w:tc>
          <w:tcPr>
            <w:tcW w:w="1713" w:type="pct"/>
            <w:shd w:val="clear" w:color="auto" w:fill="FFFFFF"/>
            <w:vAlign w:val="center"/>
          </w:tcPr>
          <w:p w14:paraId="4F39FE15" w14:textId="77777777" w:rsidR="008E0119" w:rsidRPr="00C81306" w:rsidRDefault="00D8072A" w:rsidP="00CD19C1">
            <w:pPr>
              <w:pStyle w:val="a6"/>
              <w:shd w:val="clear" w:color="auto" w:fill="auto"/>
              <w:ind w:left="142" w:firstLine="0"/>
              <w:rPr>
                <w:sz w:val="16"/>
                <w:szCs w:val="16"/>
              </w:rPr>
            </w:pPr>
            <w:r w:rsidRPr="00C81306">
              <w:rPr>
                <w:rFonts w:eastAsia="Arial"/>
                <w:sz w:val="16"/>
                <w:szCs w:val="16"/>
                <w:lang w:bidi="ru-RU"/>
              </w:rPr>
              <w:t>≥ Высшее образование</w:t>
            </w:r>
          </w:p>
        </w:tc>
        <w:tc>
          <w:tcPr>
            <w:tcW w:w="765" w:type="pct"/>
            <w:shd w:val="clear" w:color="auto" w:fill="FFFFFF"/>
            <w:vAlign w:val="center"/>
          </w:tcPr>
          <w:p w14:paraId="4F39FE1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23,2 ± 1,3</w:t>
            </w:r>
          </w:p>
        </w:tc>
        <w:tc>
          <w:tcPr>
            <w:tcW w:w="954" w:type="pct"/>
            <w:shd w:val="clear" w:color="auto" w:fill="FFFFFF"/>
            <w:vAlign w:val="center"/>
          </w:tcPr>
          <w:p w14:paraId="4F39FE1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28,8 ± 1,4</w:t>
            </w:r>
          </w:p>
        </w:tc>
        <w:tc>
          <w:tcPr>
            <w:tcW w:w="982" w:type="pct"/>
            <w:shd w:val="clear" w:color="auto" w:fill="FFFFFF"/>
            <w:vAlign w:val="center"/>
          </w:tcPr>
          <w:p w14:paraId="4F39FE1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29,7 ± 1,3</w:t>
            </w:r>
          </w:p>
        </w:tc>
        <w:tc>
          <w:tcPr>
            <w:tcW w:w="586" w:type="pct"/>
            <w:shd w:val="clear" w:color="auto" w:fill="FFFFFF"/>
            <w:vAlign w:val="center"/>
          </w:tcPr>
          <w:p w14:paraId="4F39FE1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30,4 ± 1,4</w:t>
            </w:r>
          </w:p>
        </w:tc>
      </w:tr>
      <w:tr w:rsidR="008E0119" w:rsidRPr="00C81306" w14:paraId="4F39FE20" w14:textId="77777777" w:rsidTr="00CD19C1">
        <w:trPr>
          <w:trHeight w:val="57"/>
        </w:trPr>
        <w:tc>
          <w:tcPr>
            <w:tcW w:w="1713" w:type="pct"/>
            <w:shd w:val="clear" w:color="auto" w:fill="FFFFFF"/>
            <w:vAlign w:val="center"/>
          </w:tcPr>
          <w:p w14:paraId="4F39FE1B" w14:textId="5D0327CB" w:rsidR="008E0119" w:rsidRPr="00C81306" w:rsidRDefault="00D8072A" w:rsidP="00CD19C1">
            <w:pPr>
              <w:pStyle w:val="a6"/>
              <w:shd w:val="clear" w:color="auto" w:fill="auto"/>
              <w:ind w:firstLine="0"/>
              <w:rPr>
                <w:sz w:val="16"/>
                <w:szCs w:val="16"/>
              </w:rPr>
            </w:pPr>
            <w:r w:rsidRPr="00C81306">
              <w:rPr>
                <w:sz w:val="16"/>
                <w:szCs w:val="16"/>
                <w:lang w:bidi="ru-RU"/>
              </w:rPr>
              <w:t>Семейный доход</w:t>
            </w:r>
            <w:hyperlink w:anchor="bookmark38" w:tooltip="Текущий документ">
              <w:r w:rsidRPr="00C81306">
                <w:rPr>
                  <w:color w:val="000066"/>
                  <w:sz w:val="16"/>
                  <w:szCs w:val="16"/>
                  <w:vertAlign w:val="superscript"/>
                  <w:lang w:bidi="ru-RU"/>
                </w:rPr>
                <w:t>b</w:t>
              </w:r>
            </w:hyperlink>
            <w:r w:rsidRPr="00C81306">
              <w:rPr>
                <w:sz w:val="16"/>
                <w:szCs w:val="16"/>
                <w:lang w:bidi="ru-RU"/>
              </w:rPr>
              <w:t xml:space="preserve"> (%)</w:t>
            </w:r>
          </w:p>
        </w:tc>
        <w:tc>
          <w:tcPr>
            <w:tcW w:w="765" w:type="pct"/>
            <w:shd w:val="clear" w:color="auto" w:fill="FFFFFF"/>
            <w:vAlign w:val="center"/>
          </w:tcPr>
          <w:p w14:paraId="4F39FE1C" w14:textId="77777777" w:rsidR="008E0119" w:rsidRPr="00C81306" w:rsidRDefault="008E0119" w:rsidP="00CD19C1">
            <w:pPr>
              <w:jc w:val="center"/>
              <w:rPr>
                <w:rFonts w:ascii="Times New Roman" w:hAnsi="Times New Roman" w:cs="Times New Roman"/>
                <w:sz w:val="16"/>
                <w:szCs w:val="16"/>
              </w:rPr>
            </w:pPr>
          </w:p>
        </w:tc>
        <w:tc>
          <w:tcPr>
            <w:tcW w:w="954" w:type="pct"/>
            <w:shd w:val="clear" w:color="auto" w:fill="FFFFFF"/>
            <w:vAlign w:val="center"/>
          </w:tcPr>
          <w:p w14:paraId="4F39FE1D" w14:textId="77777777" w:rsidR="008E0119" w:rsidRPr="00C81306" w:rsidRDefault="008E0119" w:rsidP="00CD19C1">
            <w:pPr>
              <w:jc w:val="center"/>
              <w:rPr>
                <w:rFonts w:ascii="Times New Roman" w:hAnsi="Times New Roman" w:cs="Times New Roman"/>
                <w:sz w:val="16"/>
                <w:szCs w:val="16"/>
              </w:rPr>
            </w:pPr>
          </w:p>
        </w:tc>
        <w:tc>
          <w:tcPr>
            <w:tcW w:w="982" w:type="pct"/>
            <w:shd w:val="clear" w:color="auto" w:fill="FFFFFF"/>
            <w:vAlign w:val="center"/>
          </w:tcPr>
          <w:p w14:paraId="4F39FE1E" w14:textId="77777777" w:rsidR="008E0119" w:rsidRPr="00C81306" w:rsidRDefault="008E0119" w:rsidP="00CD19C1">
            <w:pPr>
              <w:jc w:val="center"/>
              <w:rPr>
                <w:rFonts w:ascii="Times New Roman" w:hAnsi="Times New Roman" w:cs="Times New Roman"/>
                <w:sz w:val="16"/>
                <w:szCs w:val="16"/>
              </w:rPr>
            </w:pPr>
          </w:p>
        </w:tc>
        <w:tc>
          <w:tcPr>
            <w:tcW w:w="586" w:type="pct"/>
            <w:shd w:val="clear" w:color="auto" w:fill="FFFFFF"/>
            <w:vAlign w:val="center"/>
          </w:tcPr>
          <w:p w14:paraId="4F39FE1F" w14:textId="77777777" w:rsidR="008E0119" w:rsidRPr="00C81306" w:rsidRDefault="008E0119" w:rsidP="00CD19C1">
            <w:pPr>
              <w:jc w:val="center"/>
              <w:rPr>
                <w:rFonts w:ascii="Times New Roman" w:hAnsi="Times New Roman" w:cs="Times New Roman"/>
                <w:sz w:val="16"/>
                <w:szCs w:val="16"/>
              </w:rPr>
            </w:pPr>
          </w:p>
        </w:tc>
      </w:tr>
      <w:tr w:rsidR="008E0119" w:rsidRPr="00C81306" w14:paraId="4F39FE26" w14:textId="77777777" w:rsidTr="00CD19C1">
        <w:trPr>
          <w:trHeight w:val="57"/>
        </w:trPr>
        <w:tc>
          <w:tcPr>
            <w:tcW w:w="1713" w:type="pct"/>
            <w:shd w:val="clear" w:color="auto" w:fill="FFFFFF"/>
            <w:vAlign w:val="center"/>
          </w:tcPr>
          <w:p w14:paraId="4F39FE21"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Квартиль 1 (низкий)</w:t>
            </w:r>
          </w:p>
        </w:tc>
        <w:tc>
          <w:tcPr>
            <w:tcW w:w="765" w:type="pct"/>
            <w:shd w:val="clear" w:color="auto" w:fill="FFFFFF"/>
            <w:vAlign w:val="center"/>
          </w:tcPr>
          <w:p w14:paraId="4F39FE2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21,9 ± 1,2</w:t>
            </w:r>
          </w:p>
        </w:tc>
        <w:tc>
          <w:tcPr>
            <w:tcW w:w="954" w:type="pct"/>
            <w:shd w:val="clear" w:color="auto" w:fill="FFFFFF"/>
            <w:vAlign w:val="center"/>
          </w:tcPr>
          <w:p w14:paraId="4F39FE2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17,6 ± 1,2</w:t>
            </w:r>
          </w:p>
        </w:tc>
        <w:tc>
          <w:tcPr>
            <w:tcW w:w="982" w:type="pct"/>
            <w:shd w:val="clear" w:color="auto" w:fill="FFFFFF"/>
            <w:vAlign w:val="center"/>
          </w:tcPr>
          <w:p w14:paraId="4F39FE2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14,7 ± 0,9</w:t>
            </w:r>
          </w:p>
        </w:tc>
        <w:tc>
          <w:tcPr>
            <w:tcW w:w="586" w:type="pct"/>
            <w:shd w:val="clear" w:color="auto" w:fill="FFFFFF"/>
            <w:vAlign w:val="center"/>
          </w:tcPr>
          <w:p w14:paraId="4F39FE2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16,5 ± 1,2</w:t>
            </w:r>
          </w:p>
        </w:tc>
      </w:tr>
      <w:tr w:rsidR="008E0119" w:rsidRPr="00C81306" w14:paraId="4F39FE2C" w14:textId="77777777" w:rsidTr="00CD19C1">
        <w:trPr>
          <w:trHeight w:val="57"/>
        </w:trPr>
        <w:tc>
          <w:tcPr>
            <w:tcW w:w="1713" w:type="pct"/>
            <w:shd w:val="clear" w:color="auto" w:fill="FFFFFF"/>
            <w:vAlign w:val="center"/>
          </w:tcPr>
          <w:p w14:paraId="4F39FE27"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Квартиль 2</w:t>
            </w:r>
          </w:p>
        </w:tc>
        <w:tc>
          <w:tcPr>
            <w:tcW w:w="765" w:type="pct"/>
            <w:shd w:val="clear" w:color="auto" w:fill="FFFFFF"/>
            <w:vAlign w:val="center"/>
          </w:tcPr>
          <w:p w14:paraId="4F39FE2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28,6 ± 1,4</w:t>
            </w:r>
          </w:p>
        </w:tc>
        <w:tc>
          <w:tcPr>
            <w:tcW w:w="954" w:type="pct"/>
            <w:shd w:val="clear" w:color="auto" w:fill="FFFFFF"/>
            <w:vAlign w:val="center"/>
          </w:tcPr>
          <w:p w14:paraId="4F39FE2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23,9 ± 1,5</w:t>
            </w:r>
          </w:p>
        </w:tc>
        <w:tc>
          <w:tcPr>
            <w:tcW w:w="982" w:type="pct"/>
            <w:shd w:val="clear" w:color="auto" w:fill="FFFFFF"/>
            <w:vAlign w:val="center"/>
          </w:tcPr>
          <w:p w14:paraId="4F39FE2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25,5 ± 1,5</w:t>
            </w:r>
          </w:p>
        </w:tc>
        <w:tc>
          <w:tcPr>
            <w:tcW w:w="586" w:type="pct"/>
            <w:shd w:val="clear" w:color="auto" w:fill="FFFFFF"/>
            <w:vAlign w:val="center"/>
          </w:tcPr>
          <w:p w14:paraId="4F39FE2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23,0 ± 1,4</w:t>
            </w:r>
          </w:p>
        </w:tc>
      </w:tr>
      <w:tr w:rsidR="008E0119" w:rsidRPr="00C81306" w14:paraId="4F39FE32" w14:textId="77777777" w:rsidTr="00CD19C1">
        <w:trPr>
          <w:trHeight w:val="57"/>
        </w:trPr>
        <w:tc>
          <w:tcPr>
            <w:tcW w:w="1713" w:type="pct"/>
            <w:shd w:val="clear" w:color="auto" w:fill="FFFFFF"/>
            <w:vAlign w:val="center"/>
          </w:tcPr>
          <w:p w14:paraId="4F39FE2D"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Квартиль 3</w:t>
            </w:r>
          </w:p>
        </w:tc>
        <w:tc>
          <w:tcPr>
            <w:tcW w:w="765" w:type="pct"/>
            <w:shd w:val="clear" w:color="auto" w:fill="FFFFFF"/>
            <w:vAlign w:val="center"/>
          </w:tcPr>
          <w:p w14:paraId="4F39FE2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26,8 ± 1,4</w:t>
            </w:r>
          </w:p>
        </w:tc>
        <w:tc>
          <w:tcPr>
            <w:tcW w:w="954" w:type="pct"/>
            <w:shd w:val="clear" w:color="auto" w:fill="FFFFFF"/>
            <w:vAlign w:val="center"/>
          </w:tcPr>
          <w:p w14:paraId="4F39FE2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28,0 ± 1,3</w:t>
            </w:r>
          </w:p>
        </w:tc>
        <w:tc>
          <w:tcPr>
            <w:tcW w:w="982" w:type="pct"/>
            <w:shd w:val="clear" w:color="auto" w:fill="FFFFFF"/>
            <w:vAlign w:val="center"/>
          </w:tcPr>
          <w:p w14:paraId="4F39FE3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29,1 ± 1,5</w:t>
            </w:r>
          </w:p>
        </w:tc>
        <w:tc>
          <w:tcPr>
            <w:tcW w:w="586" w:type="pct"/>
            <w:shd w:val="clear" w:color="auto" w:fill="FFFFFF"/>
            <w:vAlign w:val="center"/>
          </w:tcPr>
          <w:p w14:paraId="4F39FE3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29,9 ± 1,6</w:t>
            </w:r>
          </w:p>
        </w:tc>
      </w:tr>
      <w:tr w:rsidR="008E0119" w:rsidRPr="00C81306" w14:paraId="4F39FE38" w14:textId="77777777" w:rsidTr="00CD19C1">
        <w:trPr>
          <w:trHeight w:val="57"/>
        </w:trPr>
        <w:tc>
          <w:tcPr>
            <w:tcW w:w="1713" w:type="pct"/>
            <w:shd w:val="clear" w:color="auto" w:fill="FFFFFF"/>
            <w:vAlign w:val="center"/>
          </w:tcPr>
          <w:p w14:paraId="4F39FE33"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Квартиль 4 (высокий)</w:t>
            </w:r>
          </w:p>
        </w:tc>
        <w:tc>
          <w:tcPr>
            <w:tcW w:w="765" w:type="pct"/>
            <w:shd w:val="clear" w:color="auto" w:fill="FFFFFF"/>
            <w:vAlign w:val="center"/>
          </w:tcPr>
          <w:p w14:paraId="4F39FE3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22,7 ± 1,4</w:t>
            </w:r>
          </w:p>
        </w:tc>
        <w:tc>
          <w:tcPr>
            <w:tcW w:w="954" w:type="pct"/>
            <w:shd w:val="clear" w:color="auto" w:fill="FFFFFF"/>
            <w:vAlign w:val="center"/>
          </w:tcPr>
          <w:p w14:paraId="4F39FE3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30,5 ± 1,8</w:t>
            </w:r>
          </w:p>
        </w:tc>
        <w:tc>
          <w:tcPr>
            <w:tcW w:w="982" w:type="pct"/>
            <w:shd w:val="clear" w:color="auto" w:fill="FFFFFF"/>
            <w:vAlign w:val="center"/>
          </w:tcPr>
          <w:p w14:paraId="4F39FE3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30,8 ± 1,8</w:t>
            </w:r>
          </w:p>
        </w:tc>
        <w:tc>
          <w:tcPr>
            <w:tcW w:w="586" w:type="pct"/>
            <w:shd w:val="clear" w:color="auto" w:fill="FFFFFF"/>
            <w:vAlign w:val="center"/>
          </w:tcPr>
          <w:p w14:paraId="4F39FE3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30,6 ± 1,6</w:t>
            </w:r>
          </w:p>
        </w:tc>
      </w:tr>
      <w:tr w:rsidR="008E0119" w:rsidRPr="00C81306" w14:paraId="4F39FE3E" w14:textId="77777777" w:rsidTr="00CD19C1">
        <w:trPr>
          <w:trHeight w:val="57"/>
        </w:trPr>
        <w:tc>
          <w:tcPr>
            <w:tcW w:w="1713" w:type="pct"/>
            <w:shd w:val="clear" w:color="auto" w:fill="FFFFFF"/>
            <w:vAlign w:val="center"/>
          </w:tcPr>
          <w:p w14:paraId="4F39FE39" w14:textId="5D1A73BB" w:rsidR="008E0119" w:rsidRPr="00C81306" w:rsidRDefault="00D8072A" w:rsidP="00CD19C1">
            <w:pPr>
              <w:pStyle w:val="a6"/>
              <w:shd w:val="clear" w:color="auto" w:fill="auto"/>
              <w:ind w:firstLine="0"/>
              <w:rPr>
                <w:sz w:val="16"/>
                <w:szCs w:val="16"/>
              </w:rPr>
            </w:pPr>
            <w:r w:rsidRPr="00C81306">
              <w:rPr>
                <w:sz w:val="16"/>
                <w:szCs w:val="16"/>
                <w:lang w:bidi="ru-RU"/>
              </w:rPr>
              <w:t>Физическая активнос</w:t>
            </w:r>
            <w:hyperlink w:anchor="bookmark39" w:tooltip="Текущий документ">
              <w:r w:rsidRPr="00C81306">
                <w:rPr>
                  <w:sz w:val="16"/>
                  <w:szCs w:val="16"/>
                  <w:lang w:bidi="ru-RU"/>
                </w:rPr>
                <w:t>ть</w:t>
              </w:r>
              <w:r w:rsidRPr="00C81306">
                <w:rPr>
                  <w:color w:val="000066"/>
                  <w:sz w:val="16"/>
                  <w:szCs w:val="16"/>
                  <w:vertAlign w:val="superscript"/>
                  <w:lang w:bidi="ru-RU"/>
                </w:rPr>
                <w:t>c</w:t>
              </w:r>
            </w:hyperlink>
          </w:p>
        </w:tc>
        <w:tc>
          <w:tcPr>
            <w:tcW w:w="765" w:type="pct"/>
            <w:shd w:val="clear" w:color="auto" w:fill="FFFFFF"/>
            <w:vAlign w:val="center"/>
          </w:tcPr>
          <w:p w14:paraId="4F39FE3A" w14:textId="77777777" w:rsidR="008E0119" w:rsidRPr="00C81306" w:rsidRDefault="008E0119" w:rsidP="00CD19C1">
            <w:pPr>
              <w:jc w:val="center"/>
              <w:rPr>
                <w:rFonts w:ascii="Times New Roman" w:hAnsi="Times New Roman" w:cs="Times New Roman"/>
                <w:sz w:val="16"/>
                <w:szCs w:val="16"/>
              </w:rPr>
            </w:pPr>
          </w:p>
        </w:tc>
        <w:tc>
          <w:tcPr>
            <w:tcW w:w="954" w:type="pct"/>
            <w:shd w:val="clear" w:color="auto" w:fill="FFFFFF"/>
            <w:vAlign w:val="center"/>
          </w:tcPr>
          <w:p w14:paraId="4F39FE3B" w14:textId="77777777" w:rsidR="008E0119" w:rsidRPr="00C81306" w:rsidRDefault="008E0119" w:rsidP="00CD19C1">
            <w:pPr>
              <w:jc w:val="center"/>
              <w:rPr>
                <w:rFonts w:ascii="Times New Roman" w:hAnsi="Times New Roman" w:cs="Times New Roman"/>
                <w:sz w:val="16"/>
                <w:szCs w:val="16"/>
              </w:rPr>
            </w:pPr>
          </w:p>
        </w:tc>
        <w:tc>
          <w:tcPr>
            <w:tcW w:w="982" w:type="pct"/>
            <w:shd w:val="clear" w:color="auto" w:fill="FFFFFF"/>
            <w:vAlign w:val="center"/>
          </w:tcPr>
          <w:p w14:paraId="4F39FE3C" w14:textId="77777777" w:rsidR="008E0119" w:rsidRPr="00C81306" w:rsidRDefault="008E0119" w:rsidP="00CD19C1">
            <w:pPr>
              <w:jc w:val="center"/>
              <w:rPr>
                <w:rFonts w:ascii="Times New Roman" w:hAnsi="Times New Roman" w:cs="Times New Roman"/>
                <w:sz w:val="16"/>
                <w:szCs w:val="16"/>
              </w:rPr>
            </w:pPr>
          </w:p>
        </w:tc>
        <w:tc>
          <w:tcPr>
            <w:tcW w:w="586" w:type="pct"/>
            <w:shd w:val="clear" w:color="auto" w:fill="FFFFFF"/>
            <w:vAlign w:val="center"/>
          </w:tcPr>
          <w:p w14:paraId="4F39FE3D" w14:textId="77777777" w:rsidR="008E0119" w:rsidRPr="00C81306" w:rsidRDefault="008E0119" w:rsidP="00CD19C1">
            <w:pPr>
              <w:jc w:val="center"/>
              <w:rPr>
                <w:rFonts w:ascii="Times New Roman" w:hAnsi="Times New Roman" w:cs="Times New Roman"/>
                <w:sz w:val="16"/>
                <w:szCs w:val="16"/>
              </w:rPr>
            </w:pPr>
          </w:p>
        </w:tc>
      </w:tr>
      <w:tr w:rsidR="008E0119" w:rsidRPr="00C81306" w14:paraId="4F39FE44" w14:textId="77777777" w:rsidTr="00CD19C1">
        <w:trPr>
          <w:trHeight w:val="57"/>
        </w:trPr>
        <w:tc>
          <w:tcPr>
            <w:tcW w:w="1713" w:type="pct"/>
            <w:shd w:val="clear" w:color="auto" w:fill="FFFFFF"/>
            <w:vAlign w:val="center"/>
          </w:tcPr>
          <w:p w14:paraId="4F39FE3F"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Низкая</w:t>
            </w:r>
          </w:p>
        </w:tc>
        <w:tc>
          <w:tcPr>
            <w:tcW w:w="765" w:type="pct"/>
            <w:shd w:val="clear" w:color="auto" w:fill="FFFFFF"/>
            <w:vAlign w:val="center"/>
          </w:tcPr>
          <w:p w14:paraId="4F39FE4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27,8 ± 1,3</w:t>
            </w:r>
          </w:p>
        </w:tc>
        <w:tc>
          <w:tcPr>
            <w:tcW w:w="954" w:type="pct"/>
            <w:shd w:val="clear" w:color="auto" w:fill="FFFFFF"/>
            <w:vAlign w:val="center"/>
          </w:tcPr>
          <w:p w14:paraId="4F39FE4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27,9 ± 1,2</w:t>
            </w:r>
          </w:p>
        </w:tc>
        <w:tc>
          <w:tcPr>
            <w:tcW w:w="982" w:type="pct"/>
            <w:shd w:val="clear" w:color="auto" w:fill="FFFFFF"/>
            <w:vAlign w:val="center"/>
          </w:tcPr>
          <w:p w14:paraId="4F39FE4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26,5 ± 1,4</w:t>
            </w:r>
          </w:p>
        </w:tc>
        <w:tc>
          <w:tcPr>
            <w:tcW w:w="586" w:type="pct"/>
            <w:shd w:val="clear" w:color="auto" w:fill="FFFFFF"/>
            <w:vAlign w:val="center"/>
          </w:tcPr>
          <w:p w14:paraId="4F39FE4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25,0 ± 0,8</w:t>
            </w:r>
          </w:p>
        </w:tc>
      </w:tr>
      <w:tr w:rsidR="008E0119" w:rsidRPr="00C81306" w14:paraId="4F39FE4A" w14:textId="77777777" w:rsidTr="00CD19C1">
        <w:trPr>
          <w:trHeight w:val="57"/>
        </w:trPr>
        <w:tc>
          <w:tcPr>
            <w:tcW w:w="1713" w:type="pct"/>
            <w:shd w:val="clear" w:color="auto" w:fill="FFFFFF"/>
            <w:vAlign w:val="center"/>
          </w:tcPr>
          <w:p w14:paraId="4F39FE45"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Средняя</w:t>
            </w:r>
          </w:p>
        </w:tc>
        <w:tc>
          <w:tcPr>
            <w:tcW w:w="765" w:type="pct"/>
            <w:shd w:val="clear" w:color="auto" w:fill="FFFFFF"/>
            <w:vAlign w:val="center"/>
          </w:tcPr>
          <w:p w14:paraId="4F39FE4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40,3 ± 1,5</w:t>
            </w:r>
          </w:p>
        </w:tc>
        <w:tc>
          <w:tcPr>
            <w:tcW w:w="954" w:type="pct"/>
            <w:shd w:val="clear" w:color="auto" w:fill="FFFFFF"/>
            <w:vAlign w:val="center"/>
          </w:tcPr>
          <w:p w14:paraId="4F39FE4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38,0 ± 1,4</w:t>
            </w:r>
          </w:p>
        </w:tc>
        <w:tc>
          <w:tcPr>
            <w:tcW w:w="982" w:type="pct"/>
            <w:shd w:val="clear" w:color="auto" w:fill="FFFFFF"/>
            <w:vAlign w:val="center"/>
          </w:tcPr>
          <w:p w14:paraId="4F39FE4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41,8 ± 1,5</w:t>
            </w:r>
          </w:p>
        </w:tc>
        <w:tc>
          <w:tcPr>
            <w:tcW w:w="586" w:type="pct"/>
            <w:shd w:val="clear" w:color="auto" w:fill="FFFFFF"/>
            <w:vAlign w:val="center"/>
          </w:tcPr>
          <w:p w14:paraId="4F39FE4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40,6 ± 0,8</w:t>
            </w:r>
          </w:p>
        </w:tc>
      </w:tr>
      <w:tr w:rsidR="008E0119" w:rsidRPr="00C81306" w14:paraId="4F39FE50" w14:textId="77777777" w:rsidTr="00CD19C1">
        <w:trPr>
          <w:trHeight w:val="57"/>
        </w:trPr>
        <w:tc>
          <w:tcPr>
            <w:tcW w:w="1713" w:type="pct"/>
            <w:shd w:val="clear" w:color="auto" w:fill="FFFFFF"/>
            <w:vAlign w:val="center"/>
          </w:tcPr>
          <w:p w14:paraId="4F39FE4B"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Высокая</w:t>
            </w:r>
          </w:p>
        </w:tc>
        <w:tc>
          <w:tcPr>
            <w:tcW w:w="765" w:type="pct"/>
            <w:shd w:val="clear" w:color="auto" w:fill="FFFFFF"/>
            <w:vAlign w:val="center"/>
          </w:tcPr>
          <w:p w14:paraId="4F39FE4C"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31,9 ± 1,4</w:t>
            </w:r>
          </w:p>
        </w:tc>
        <w:tc>
          <w:tcPr>
            <w:tcW w:w="954" w:type="pct"/>
            <w:shd w:val="clear" w:color="auto" w:fill="FFFFFF"/>
            <w:vAlign w:val="center"/>
          </w:tcPr>
          <w:p w14:paraId="4F39FE4D"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34,1 ± 1,5</w:t>
            </w:r>
          </w:p>
        </w:tc>
        <w:tc>
          <w:tcPr>
            <w:tcW w:w="982" w:type="pct"/>
            <w:shd w:val="clear" w:color="auto" w:fill="FFFFFF"/>
            <w:vAlign w:val="center"/>
          </w:tcPr>
          <w:p w14:paraId="4F39FE4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31,6 ± 1,5</w:t>
            </w:r>
          </w:p>
        </w:tc>
        <w:tc>
          <w:tcPr>
            <w:tcW w:w="586" w:type="pct"/>
            <w:shd w:val="clear" w:color="auto" w:fill="FFFFFF"/>
            <w:vAlign w:val="center"/>
          </w:tcPr>
          <w:p w14:paraId="4F39FE4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34,4 ± 0,8</w:t>
            </w:r>
          </w:p>
        </w:tc>
      </w:tr>
      <w:tr w:rsidR="008E0119" w:rsidRPr="00C81306" w14:paraId="4F39FE56" w14:textId="77777777" w:rsidTr="00CD19C1">
        <w:trPr>
          <w:trHeight w:val="57"/>
        </w:trPr>
        <w:tc>
          <w:tcPr>
            <w:tcW w:w="1713" w:type="pct"/>
            <w:shd w:val="clear" w:color="auto" w:fill="FFFFFF"/>
            <w:vAlign w:val="center"/>
          </w:tcPr>
          <w:p w14:paraId="4F39FE51" w14:textId="77777777" w:rsidR="008E0119" w:rsidRPr="00C81306" w:rsidRDefault="00D8072A" w:rsidP="00CD19C1">
            <w:pPr>
              <w:pStyle w:val="a6"/>
              <w:shd w:val="clear" w:color="auto" w:fill="auto"/>
              <w:ind w:firstLine="0"/>
              <w:rPr>
                <w:sz w:val="16"/>
                <w:szCs w:val="16"/>
              </w:rPr>
            </w:pPr>
            <w:r w:rsidRPr="00C81306">
              <w:rPr>
                <w:sz w:val="16"/>
                <w:szCs w:val="16"/>
                <w:lang w:bidi="ru-RU"/>
              </w:rPr>
              <w:t>Курение (%)</w:t>
            </w:r>
          </w:p>
        </w:tc>
        <w:tc>
          <w:tcPr>
            <w:tcW w:w="765" w:type="pct"/>
            <w:shd w:val="clear" w:color="auto" w:fill="FFFFFF"/>
            <w:vAlign w:val="center"/>
          </w:tcPr>
          <w:p w14:paraId="4F39FE52" w14:textId="77777777" w:rsidR="008E0119" w:rsidRPr="00C81306" w:rsidRDefault="008E0119" w:rsidP="00CD19C1">
            <w:pPr>
              <w:jc w:val="center"/>
              <w:rPr>
                <w:rFonts w:ascii="Times New Roman" w:hAnsi="Times New Roman" w:cs="Times New Roman"/>
                <w:sz w:val="16"/>
                <w:szCs w:val="16"/>
              </w:rPr>
            </w:pPr>
          </w:p>
        </w:tc>
        <w:tc>
          <w:tcPr>
            <w:tcW w:w="954" w:type="pct"/>
            <w:shd w:val="clear" w:color="auto" w:fill="FFFFFF"/>
            <w:vAlign w:val="center"/>
          </w:tcPr>
          <w:p w14:paraId="4F39FE53" w14:textId="77777777" w:rsidR="008E0119" w:rsidRPr="00C81306" w:rsidRDefault="008E0119" w:rsidP="00CD19C1">
            <w:pPr>
              <w:jc w:val="center"/>
              <w:rPr>
                <w:rFonts w:ascii="Times New Roman" w:hAnsi="Times New Roman" w:cs="Times New Roman"/>
                <w:sz w:val="16"/>
                <w:szCs w:val="16"/>
              </w:rPr>
            </w:pPr>
          </w:p>
        </w:tc>
        <w:tc>
          <w:tcPr>
            <w:tcW w:w="982" w:type="pct"/>
            <w:shd w:val="clear" w:color="auto" w:fill="FFFFFF"/>
            <w:vAlign w:val="center"/>
          </w:tcPr>
          <w:p w14:paraId="4F39FE54" w14:textId="77777777" w:rsidR="008E0119" w:rsidRPr="00C81306" w:rsidRDefault="008E0119" w:rsidP="00CD19C1">
            <w:pPr>
              <w:jc w:val="center"/>
              <w:rPr>
                <w:rFonts w:ascii="Times New Roman" w:hAnsi="Times New Roman" w:cs="Times New Roman"/>
                <w:sz w:val="16"/>
                <w:szCs w:val="16"/>
              </w:rPr>
            </w:pPr>
          </w:p>
        </w:tc>
        <w:tc>
          <w:tcPr>
            <w:tcW w:w="586" w:type="pct"/>
            <w:shd w:val="clear" w:color="auto" w:fill="FFFFFF"/>
            <w:vAlign w:val="center"/>
          </w:tcPr>
          <w:p w14:paraId="4F39FE55" w14:textId="77777777" w:rsidR="008E0119" w:rsidRPr="00C81306" w:rsidRDefault="008E0119" w:rsidP="00CD19C1">
            <w:pPr>
              <w:jc w:val="center"/>
              <w:rPr>
                <w:rFonts w:ascii="Times New Roman" w:hAnsi="Times New Roman" w:cs="Times New Roman"/>
                <w:sz w:val="16"/>
                <w:szCs w:val="16"/>
              </w:rPr>
            </w:pPr>
          </w:p>
        </w:tc>
      </w:tr>
      <w:tr w:rsidR="008E0119" w:rsidRPr="00C81306" w14:paraId="4F39FE5C" w14:textId="77777777" w:rsidTr="00CD19C1">
        <w:trPr>
          <w:trHeight w:val="57"/>
        </w:trPr>
        <w:tc>
          <w:tcPr>
            <w:tcW w:w="1713" w:type="pct"/>
            <w:shd w:val="clear" w:color="auto" w:fill="FFFFFF"/>
            <w:vAlign w:val="center"/>
          </w:tcPr>
          <w:p w14:paraId="4F39FE57"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Никогда не курили</w:t>
            </w:r>
          </w:p>
        </w:tc>
        <w:tc>
          <w:tcPr>
            <w:tcW w:w="765" w:type="pct"/>
            <w:shd w:val="clear" w:color="auto" w:fill="FFFFFF"/>
            <w:vAlign w:val="center"/>
          </w:tcPr>
          <w:p w14:paraId="4F39FE5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54,2 ± 1,5</w:t>
            </w:r>
          </w:p>
        </w:tc>
        <w:tc>
          <w:tcPr>
            <w:tcW w:w="954" w:type="pct"/>
            <w:shd w:val="clear" w:color="auto" w:fill="FFFFFF"/>
            <w:vAlign w:val="center"/>
          </w:tcPr>
          <w:p w14:paraId="4F39FE5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55,3 ± 1,5</w:t>
            </w:r>
          </w:p>
        </w:tc>
        <w:tc>
          <w:tcPr>
            <w:tcW w:w="982" w:type="pct"/>
            <w:shd w:val="clear" w:color="auto" w:fill="FFFFFF"/>
            <w:vAlign w:val="center"/>
          </w:tcPr>
          <w:p w14:paraId="4F39FE5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59,2 ± 1,5</w:t>
            </w:r>
          </w:p>
        </w:tc>
        <w:tc>
          <w:tcPr>
            <w:tcW w:w="586" w:type="pct"/>
            <w:shd w:val="clear" w:color="auto" w:fill="FFFFFF"/>
            <w:vAlign w:val="center"/>
          </w:tcPr>
          <w:p w14:paraId="4F39FE5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67,4 ± 1,4</w:t>
            </w:r>
          </w:p>
        </w:tc>
      </w:tr>
      <w:tr w:rsidR="008E0119" w:rsidRPr="00C81306" w14:paraId="4F39FE62" w14:textId="77777777" w:rsidTr="00CD19C1">
        <w:trPr>
          <w:trHeight w:val="57"/>
        </w:trPr>
        <w:tc>
          <w:tcPr>
            <w:tcW w:w="1713" w:type="pct"/>
            <w:shd w:val="clear" w:color="auto" w:fill="FFFFFF"/>
            <w:vAlign w:val="center"/>
          </w:tcPr>
          <w:p w14:paraId="4F39FE5D"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Курили ранее</w:t>
            </w:r>
          </w:p>
        </w:tc>
        <w:tc>
          <w:tcPr>
            <w:tcW w:w="765" w:type="pct"/>
            <w:shd w:val="clear" w:color="auto" w:fill="FFFFFF"/>
            <w:vAlign w:val="center"/>
          </w:tcPr>
          <w:p w14:paraId="4F39FE5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18,3 ± 1,3</w:t>
            </w:r>
          </w:p>
        </w:tc>
        <w:tc>
          <w:tcPr>
            <w:tcW w:w="954" w:type="pct"/>
            <w:shd w:val="clear" w:color="auto" w:fill="FFFFFF"/>
            <w:vAlign w:val="center"/>
          </w:tcPr>
          <w:p w14:paraId="4F39FE5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20,8 ± 1,2</w:t>
            </w:r>
          </w:p>
        </w:tc>
        <w:tc>
          <w:tcPr>
            <w:tcW w:w="982" w:type="pct"/>
            <w:shd w:val="clear" w:color="auto" w:fill="FFFFFF"/>
            <w:vAlign w:val="center"/>
          </w:tcPr>
          <w:p w14:paraId="4F39FE6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21,9 ± 1,3</w:t>
            </w:r>
          </w:p>
        </w:tc>
        <w:tc>
          <w:tcPr>
            <w:tcW w:w="586" w:type="pct"/>
            <w:shd w:val="clear" w:color="auto" w:fill="FFFFFF"/>
            <w:vAlign w:val="center"/>
          </w:tcPr>
          <w:p w14:paraId="4F39FE6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16,9 ± 1,2</w:t>
            </w:r>
          </w:p>
        </w:tc>
      </w:tr>
      <w:tr w:rsidR="008E0119" w:rsidRPr="00C81306" w14:paraId="4F39FE68" w14:textId="77777777" w:rsidTr="00CD19C1">
        <w:trPr>
          <w:trHeight w:val="57"/>
        </w:trPr>
        <w:tc>
          <w:tcPr>
            <w:tcW w:w="1713" w:type="pct"/>
            <w:shd w:val="clear" w:color="auto" w:fill="FFFFFF"/>
            <w:vAlign w:val="center"/>
          </w:tcPr>
          <w:p w14:paraId="4F39FE63"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Курят в настоящее время</w:t>
            </w:r>
          </w:p>
        </w:tc>
        <w:tc>
          <w:tcPr>
            <w:tcW w:w="765" w:type="pct"/>
            <w:shd w:val="clear" w:color="auto" w:fill="FFFFFF"/>
            <w:vAlign w:val="center"/>
          </w:tcPr>
          <w:p w14:paraId="4F39FE6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27,5 ± 1,4</w:t>
            </w:r>
          </w:p>
        </w:tc>
        <w:tc>
          <w:tcPr>
            <w:tcW w:w="954" w:type="pct"/>
            <w:shd w:val="clear" w:color="auto" w:fill="FFFFFF"/>
            <w:vAlign w:val="center"/>
          </w:tcPr>
          <w:p w14:paraId="4F39FE6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24,0 ± 1,4</w:t>
            </w:r>
          </w:p>
        </w:tc>
        <w:tc>
          <w:tcPr>
            <w:tcW w:w="982" w:type="pct"/>
            <w:shd w:val="clear" w:color="auto" w:fill="FFFFFF"/>
            <w:vAlign w:val="center"/>
          </w:tcPr>
          <w:p w14:paraId="4F39FE6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18,9 ± 1,2</w:t>
            </w:r>
          </w:p>
        </w:tc>
        <w:tc>
          <w:tcPr>
            <w:tcW w:w="586" w:type="pct"/>
            <w:shd w:val="clear" w:color="auto" w:fill="FFFFFF"/>
            <w:vAlign w:val="center"/>
          </w:tcPr>
          <w:p w14:paraId="4F39FE6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15,7 ± 1,1</w:t>
            </w:r>
          </w:p>
        </w:tc>
      </w:tr>
      <w:tr w:rsidR="008E0119" w:rsidRPr="00C81306" w14:paraId="4F39FE6E" w14:textId="77777777" w:rsidTr="00CD19C1">
        <w:trPr>
          <w:trHeight w:val="57"/>
        </w:trPr>
        <w:tc>
          <w:tcPr>
            <w:tcW w:w="1713" w:type="pct"/>
            <w:shd w:val="clear" w:color="auto" w:fill="FFFFFF"/>
            <w:vAlign w:val="center"/>
          </w:tcPr>
          <w:p w14:paraId="4F39FE69" w14:textId="77777777" w:rsidR="008E0119" w:rsidRPr="00C81306" w:rsidRDefault="00D8072A" w:rsidP="00CD19C1">
            <w:pPr>
              <w:pStyle w:val="a6"/>
              <w:shd w:val="clear" w:color="auto" w:fill="auto"/>
              <w:ind w:firstLine="0"/>
              <w:rPr>
                <w:sz w:val="16"/>
                <w:szCs w:val="16"/>
              </w:rPr>
            </w:pPr>
            <w:r w:rsidRPr="00C81306">
              <w:rPr>
                <w:sz w:val="16"/>
                <w:szCs w:val="16"/>
                <w:lang w:bidi="ru-RU"/>
              </w:rPr>
              <w:t>Употребление алкоголя (г/сут)</w:t>
            </w:r>
          </w:p>
        </w:tc>
        <w:tc>
          <w:tcPr>
            <w:tcW w:w="765" w:type="pct"/>
            <w:shd w:val="clear" w:color="auto" w:fill="FFFFFF"/>
            <w:vAlign w:val="center"/>
          </w:tcPr>
          <w:p w14:paraId="4F39FE6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9,8 ± 0,5</w:t>
            </w:r>
          </w:p>
        </w:tc>
        <w:tc>
          <w:tcPr>
            <w:tcW w:w="954" w:type="pct"/>
            <w:shd w:val="clear" w:color="auto" w:fill="FFFFFF"/>
            <w:vAlign w:val="center"/>
          </w:tcPr>
          <w:p w14:paraId="4F39FE6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7,4 ± 0,4</w:t>
            </w:r>
          </w:p>
        </w:tc>
        <w:tc>
          <w:tcPr>
            <w:tcW w:w="982" w:type="pct"/>
            <w:shd w:val="clear" w:color="auto" w:fill="FFFFFF"/>
            <w:vAlign w:val="center"/>
          </w:tcPr>
          <w:p w14:paraId="4F39FE6C"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6,0 ± 0,4</w:t>
            </w:r>
          </w:p>
        </w:tc>
        <w:tc>
          <w:tcPr>
            <w:tcW w:w="586" w:type="pct"/>
            <w:shd w:val="clear" w:color="auto" w:fill="FFFFFF"/>
            <w:vAlign w:val="center"/>
          </w:tcPr>
          <w:p w14:paraId="4F39FE6D"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5,3 ± 0,3</w:t>
            </w:r>
          </w:p>
        </w:tc>
      </w:tr>
      <w:tr w:rsidR="008E0119" w:rsidRPr="00C81306" w14:paraId="4F39FE74" w14:textId="77777777" w:rsidTr="00CD19C1">
        <w:trPr>
          <w:trHeight w:val="57"/>
        </w:trPr>
        <w:tc>
          <w:tcPr>
            <w:tcW w:w="1713" w:type="pct"/>
            <w:shd w:val="clear" w:color="auto" w:fill="FFFFFF"/>
            <w:vAlign w:val="center"/>
          </w:tcPr>
          <w:p w14:paraId="4F39FE6F" w14:textId="77777777" w:rsidR="008E0119" w:rsidRPr="00C81306" w:rsidRDefault="00D8072A" w:rsidP="00CD19C1">
            <w:pPr>
              <w:pStyle w:val="a6"/>
              <w:shd w:val="clear" w:color="auto" w:fill="auto"/>
              <w:ind w:firstLine="0"/>
              <w:rPr>
                <w:sz w:val="16"/>
                <w:szCs w:val="16"/>
              </w:rPr>
            </w:pPr>
            <w:r w:rsidRPr="00C81306">
              <w:rPr>
                <w:sz w:val="16"/>
                <w:szCs w:val="16"/>
                <w:lang w:bidi="ru-RU"/>
              </w:rPr>
              <w:t>Ежедневное потребление с пищей</w:t>
            </w:r>
          </w:p>
        </w:tc>
        <w:tc>
          <w:tcPr>
            <w:tcW w:w="765" w:type="pct"/>
            <w:shd w:val="clear" w:color="auto" w:fill="FFFFFF"/>
            <w:vAlign w:val="center"/>
          </w:tcPr>
          <w:p w14:paraId="4F39FE70" w14:textId="77777777" w:rsidR="008E0119" w:rsidRPr="00C81306" w:rsidRDefault="008E0119" w:rsidP="00CD19C1">
            <w:pPr>
              <w:jc w:val="center"/>
              <w:rPr>
                <w:rFonts w:ascii="Times New Roman" w:hAnsi="Times New Roman" w:cs="Times New Roman"/>
                <w:sz w:val="16"/>
                <w:szCs w:val="16"/>
              </w:rPr>
            </w:pPr>
          </w:p>
        </w:tc>
        <w:tc>
          <w:tcPr>
            <w:tcW w:w="954" w:type="pct"/>
            <w:shd w:val="clear" w:color="auto" w:fill="FFFFFF"/>
            <w:vAlign w:val="center"/>
          </w:tcPr>
          <w:p w14:paraId="4F39FE71" w14:textId="77777777" w:rsidR="008E0119" w:rsidRPr="00C81306" w:rsidRDefault="008E0119" w:rsidP="00CD19C1">
            <w:pPr>
              <w:jc w:val="center"/>
              <w:rPr>
                <w:rFonts w:ascii="Times New Roman" w:hAnsi="Times New Roman" w:cs="Times New Roman"/>
                <w:sz w:val="16"/>
                <w:szCs w:val="16"/>
              </w:rPr>
            </w:pPr>
          </w:p>
        </w:tc>
        <w:tc>
          <w:tcPr>
            <w:tcW w:w="982" w:type="pct"/>
            <w:shd w:val="clear" w:color="auto" w:fill="FFFFFF"/>
            <w:vAlign w:val="center"/>
          </w:tcPr>
          <w:p w14:paraId="4F39FE72" w14:textId="77777777" w:rsidR="008E0119" w:rsidRPr="00C81306" w:rsidRDefault="008E0119" w:rsidP="00CD19C1">
            <w:pPr>
              <w:jc w:val="center"/>
              <w:rPr>
                <w:rFonts w:ascii="Times New Roman" w:hAnsi="Times New Roman" w:cs="Times New Roman"/>
                <w:sz w:val="16"/>
                <w:szCs w:val="16"/>
              </w:rPr>
            </w:pPr>
          </w:p>
        </w:tc>
        <w:tc>
          <w:tcPr>
            <w:tcW w:w="586" w:type="pct"/>
            <w:shd w:val="clear" w:color="auto" w:fill="FFFFFF"/>
            <w:vAlign w:val="center"/>
          </w:tcPr>
          <w:p w14:paraId="4F39FE73" w14:textId="77777777" w:rsidR="008E0119" w:rsidRPr="00C81306" w:rsidRDefault="008E0119" w:rsidP="00CD19C1">
            <w:pPr>
              <w:jc w:val="center"/>
              <w:rPr>
                <w:rFonts w:ascii="Times New Roman" w:hAnsi="Times New Roman" w:cs="Times New Roman"/>
                <w:sz w:val="16"/>
                <w:szCs w:val="16"/>
              </w:rPr>
            </w:pPr>
          </w:p>
        </w:tc>
      </w:tr>
      <w:tr w:rsidR="008E0119" w:rsidRPr="00C81306" w14:paraId="4F39FE7A" w14:textId="77777777" w:rsidTr="00CD19C1">
        <w:trPr>
          <w:trHeight w:val="57"/>
        </w:trPr>
        <w:tc>
          <w:tcPr>
            <w:tcW w:w="1713" w:type="pct"/>
            <w:shd w:val="clear" w:color="auto" w:fill="FFFFFF"/>
            <w:vAlign w:val="center"/>
          </w:tcPr>
          <w:p w14:paraId="4F39FE75"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Калорийность (ккал/сут)</w:t>
            </w:r>
          </w:p>
        </w:tc>
        <w:tc>
          <w:tcPr>
            <w:tcW w:w="765" w:type="pct"/>
            <w:shd w:val="clear" w:color="auto" w:fill="FFFFFF"/>
            <w:vAlign w:val="center"/>
          </w:tcPr>
          <w:p w14:paraId="4F39FE7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1879,6 ± 21,8</w:t>
            </w:r>
          </w:p>
        </w:tc>
        <w:tc>
          <w:tcPr>
            <w:tcW w:w="954" w:type="pct"/>
            <w:shd w:val="clear" w:color="auto" w:fill="FFFFFF"/>
            <w:vAlign w:val="center"/>
          </w:tcPr>
          <w:p w14:paraId="4F39FE7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1846,0 ± 18,1</w:t>
            </w:r>
          </w:p>
        </w:tc>
        <w:tc>
          <w:tcPr>
            <w:tcW w:w="982" w:type="pct"/>
            <w:shd w:val="clear" w:color="auto" w:fill="FFFFFF"/>
            <w:vAlign w:val="center"/>
          </w:tcPr>
          <w:p w14:paraId="4F39FE7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1779,9 ± 18,5</w:t>
            </w:r>
          </w:p>
        </w:tc>
        <w:tc>
          <w:tcPr>
            <w:tcW w:w="586" w:type="pct"/>
            <w:shd w:val="clear" w:color="auto" w:fill="FFFFFF"/>
            <w:vAlign w:val="center"/>
          </w:tcPr>
          <w:p w14:paraId="4F39FE7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1667,4 ± 20,5</w:t>
            </w:r>
          </w:p>
        </w:tc>
      </w:tr>
      <w:tr w:rsidR="008E0119" w:rsidRPr="00C81306" w14:paraId="4F39FE80" w14:textId="77777777" w:rsidTr="00CD19C1">
        <w:trPr>
          <w:trHeight w:val="57"/>
        </w:trPr>
        <w:tc>
          <w:tcPr>
            <w:tcW w:w="1713" w:type="pct"/>
            <w:shd w:val="clear" w:color="auto" w:fill="FFFFFF"/>
            <w:vAlign w:val="center"/>
          </w:tcPr>
          <w:p w14:paraId="4F39FE7B"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Углеводы (% калорий)</w:t>
            </w:r>
          </w:p>
        </w:tc>
        <w:tc>
          <w:tcPr>
            <w:tcW w:w="765" w:type="pct"/>
            <w:shd w:val="clear" w:color="auto" w:fill="FFFFFF"/>
            <w:vAlign w:val="center"/>
          </w:tcPr>
          <w:p w14:paraId="4F39FE7C"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65,0 ± 0,4</w:t>
            </w:r>
          </w:p>
        </w:tc>
        <w:tc>
          <w:tcPr>
            <w:tcW w:w="954" w:type="pct"/>
            <w:shd w:val="clear" w:color="auto" w:fill="FFFFFF"/>
            <w:vAlign w:val="center"/>
          </w:tcPr>
          <w:p w14:paraId="4F39FE7D"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66,7 ± 0,4</w:t>
            </w:r>
          </w:p>
        </w:tc>
        <w:tc>
          <w:tcPr>
            <w:tcW w:w="982" w:type="pct"/>
            <w:shd w:val="clear" w:color="auto" w:fill="FFFFFF"/>
            <w:vAlign w:val="center"/>
          </w:tcPr>
          <w:p w14:paraId="4F39FE7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68,4 ± 0,3</w:t>
            </w:r>
          </w:p>
        </w:tc>
        <w:tc>
          <w:tcPr>
            <w:tcW w:w="586" w:type="pct"/>
            <w:shd w:val="clear" w:color="auto" w:fill="FFFFFF"/>
            <w:vAlign w:val="center"/>
          </w:tcPr>
          <w:p w14:paraId="4F39FE7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71,3 ± 0,4</w:t>
            </w:r>
          </w:p>
        </w:tc>
      </w:tr>
      <w:tr w:rsidR="008E0119" w:rsidRPr="00C81306" w14:paraId="4F39FE86" w14:textId="77777777" w:rsidTr="00CD19C1">
        <w:trPr>
          <w:trHeight w:val="57"/>
        </w:trPr>
        <w:tc>
          <w:tcPr>
            <w:tcW w:w="1713" w:type="pct"/>
            <w:shd w:val="clear" w:color="auto" w:fill="FFFFFF"/>
            <w:vAlign w:val="center"/>
          </w:tcPr>
          <w:p w14:paraId="4F39FE81"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Общие жиры (% калорий)</w:t>
            </w:r>
          </w:p>
        </w:tc>
        <w:tc>
          <w:tcPr>
            <w:tcW w:w="765" w:type="pct"/>
            <w:shd w:val="clear" w:color="auto" w:fill="FFFFFF"/>
            <w:vAlign w:val="center"/>
          </w:tcPr>
          <w:p w14:paraId="4F39FE8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7,3 ± 0,1</w:t>
            </w:r>
          </w:p>
        </w:tc>
        <w:tc>
          <w:tcPr>
            <w:tcW w:w="954" w:type="pct"/>
            <w:shd w:val="clear" w:color="auto" w:fill="FFFFFF"/>
            <w:vAlign w:val="center"/>
          </w:tcPr>
          <w:p w14:paraId="4F39FE8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7,6 ± 0,1</w:t>
            </w:r>
          </w:p>
        </w:tc>
        <w:tc>
          <w:tcPr>
            <w:tcW w:w="982" w:type="pct"/>
            <w:shd w:val="clear" w:color="auto" w:fill="FFFFFF"/>
            <w:vAlign w:val="center"/>
          </w:tcPr>
          <w:p w14:paraId="4F39FE8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7,4 ± 0,1</w:t>
            </w:r>
          </w:p>
        </w:tc>
        <w:tc>
          <w:tcPr>
            <w:tcW w:w="586" w:type="pct"/>
            <w:shd w:val="clear" w:color="auto" w:fill="FFFFFF"/>
            <w:vAlign w:val="center"/>
          </w:tcPr>
          <w:p w14:paraId="4F39FE8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6,9 ± 0,1</w:t>
            </w:r>
          </w:p>
        </w:tc>
      </w:tr>
      <w:tr w:rsidR="008E0119" w:rsidRPr="00C81306" w14:paraId="4F39FE8C" w14:textId="77777777" w:rsidTr="00CD19C1">
        <w:trPr>
          <w:trHeight w:val="57"/>
        </w:trPr>
        <w:tc>
          <w:tcPr>
            <w:tcW w:w="1713" w:type="pct"/>
            <w:shd w:val="clear" w:color="auto" w:fill="FFFFFF"/>
            <w:vAlign w:val="center"/>
          </w:tcPr>
          <w:p w14:paraId="4F39FE87"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Белки (% калорий)</w:t>
            </w:r>
          </w:p>
        </w:tc>
        <w:tc>
          <w:tcPr>
            <w:tcW w:w="765" w:type="pct"/>
            <w:shd w:val="clear" w:color="auto" w:fill="FFFFFF"/>
            <w:vAlign w:val="center"/>
          </w:tcPr>
          <w:p w14:paraId="4F39FE88"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12,3 ± 0,1</w:t>
            </w:r>
          </w:p>
        </w:tc>
        <w:tc>
          <w:tcPr>
            <w:tcW w:w="954" w:type="pct"/>
            <w:shd w:val="clear" w:color="auto" w:fill="FFFFFF"/>
            <w:vAlign w:val="center"/>
          </w:tcPr>
          <w:p w14:paraId="4F39FE89"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13,9 ± 0,1</w:t>
            </w:r>
          </w:p>
        </w:tc>
        <w:tc>
          <w:tcPr>
            <w:tcW w:w="982" w:type="pct"/>
            <w:shd w:val="clear" w:color="auto" w:fill="FFFFFF"/>
            <w:vAlign w:val="center"/>
          </w:tcPr>
          <w:p w14:paraId="4F39FE8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15,0 ± 0,1</w:t>
            </w:r>
          </w:p>
        </w:tc>
        <w:tc>
          <w:tcPr>
            <w:tcW w:w="586" w:type="pct"/>
            <w:shd w:val="clear" w:color="auto" w:fill="FFFFFF"/>
            <w:vAlign w:val="center"/>
          </w:tcPr>
          <w:p w14:paraId="4F39FE8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15,9 ± 0,1</w:t>
            </w:r>
          </w:p>
        </w:tc>
      </w:tr>
      <w:tr w:rsidR="008E0119" w:rsidRPr="00C81306" w14:paraId="4F39FE92" w14:textId="77777777" w:rsidTr="00CD19C1">
        <w:trPr>
          <w:trHeight w:val="57"/>
        </w:trPr>
        <w:tc>
          <w:tcPr>
            <w:tcW w:w="1713" w:type="pct"/>
            <w:shd w:val="clear" w:color="auto" w:fill="FFFFFF"/>
            <w:vAlign w:val="center"/>
          </w:tcPr>
          <w:p w14:paraId="4F39FE8D"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Пищевые волокна (г/1000 ккал)</w:t>
            </w:r>
          </w:p>
        </w:tc>
        <w:tc>
          <w:tcPr>
            <w:tcW w:w="765" w:type="pct"/>
            <w:shd w:val="clear" w:color="auto" w:fill="FFFFFF"/>
            <w:vAlign w:val="center"/>
          </w:tcPr>
          <w:p w14:paraId="4F39FE8E"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 ± 0,0</w:t>
            </w:r>
          </w:p>
        </w:tc>
        <w:tc>
          <w:tcPr>
            <w:tcW w:w="954" w:type="pct"/>
            <w:shd w:val="clear" w:color="auto" w:fill="FFFFFF"/>
            <w:vAlign w:val="center"/>
          </w:tcPr>
          <w:p w14:paraId="4F39FE8F"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3,4 ± 0,0</w:t>
            </w:r>
          </w:p>
        </w:tc>
        <w:tc>
          <w:tcPr>
            <w:tcW w:w="982" w:type="pct"/>
            <w:shd w:val="clear" w:color="auto" w:fill="FFFFFF"/>
            <w:vAlign w:val="center"/>
          </w:tcPr>
          <w:p w14:paraId="4F39FE9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4,1 ± 0,0</w:t>
            </w:r>
          </w:p>
        </w:tc>
        <w:tc>
          <w:tcPr>
            <w:tcW w:w="586" w:type="pct"/>
            <w:shd w:val="clear" w:color="auto" w:fill="FFFFFF"/>
            <w:vAlign w:val="center"/>
          </w:tcPr>
          <w:p w14:paraId="4F39FE9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6,1 ± 0,1</w:t>
            </w:r>
          </w:p>
        </w:tc>
      </w:tr>
      <w:tr w:rsidR="008E0119" w:rsidRPr="00C81306" w14:paraId="4F39FE98" w14:textId="77777777" w:rsidTr="00CD19C1">
        <w:trPr>
          <w:trHeight w:val="57"/>
        </w:trPr>
        <w:tc>
          <w:tcPr>
            <w:tcW w:w="1713" w:type="pct"/>
            <w:shd w:val="clear" w:color="auto" w:fill="FFFFFF"/>
            <w:vAlign w:val="center"/>
          </w:tcPr>
          <w:p w14:paraId="4F39FE93"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Витамин С (мг/1000 ккал)</w:t>
            </w:r>
          </w:p>
        </w:tc>
        <w:tc>
          <w:tcPr>
            <w:tcW w:w="765" w:type="pct"/>
            <w:shd w:val="clear" w:color="auto" w:fill="FFFFFF"/>
            <w:vAlign w:val="center"/>
          </w:tcPr>
          <w:p w14:paraId="4F39FE94"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27,7 ± 0,6</w:t>
            </w:r>
          </w:p>
        </w:tc>
        <w:tc>
          <w:tcPr>
            <w:tcW w:w="954" w:type="pct"/>
            <w:shd w:val="clear" w:color="auto" w:fill="FFFFFF"/>
            <w:vAlign w:val="center"/>
          </w:tcPr>
          <w:p w14:paraId="4F39FE95"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45,5 ± 0,8</w:t>
            </w:r>
          </w:p>
        </w:tc>
        <w:tc>
          <w:tcPr>
            <w:tcW w:w="982" w:type="pct"/>
            <w:shd w:val="clear" w:color="auto" w:fill="FFFFFF"/>
            <w:vAlign w:val="center"/>
          </w:tcPr>
          <w:p w14:paraId="4F39FE96"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61,1 ± 1,2</w:t>
            </w:r>
          </w:p>
        </w:tc>
        <w:tc>
          <w:tcPr>
            <w:tcW w:w="586" w:type="pct"/>
            <w:shd w:val="clear" w:color="auto" w:fill="FFFFFF"/>
            <w:vAlign w:val="center"/>
          </w:tcPr>
          <w:p w14:paraId="4F39FE97"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98,0 ± 2,6</w:t>
            </w:r>
          </w:p>
        </w:tc>
      </w:tr>
      <w:tr w:rsidR="008E0119" w:rsidRPr="00C81306" w14:paraId="4F39FE9E" w14:textId="77777777" w:rsidTr="00CD19C1">
        <w:trPr>
          <w:trHeight w:val="57"/>
        </w:trPr>
        <w:tc>
          <w:tcPr>
            <w:tcW w:w="1713" w:type="pct"/>
            <w:shd w:val="clear" w:color="auto" w:fill="FFFFFF"/>
            <w:vAlign w:val="center"/>
          </w:tcPr>
          <w:p w14:paraId="4F39FE99" w14:textId="77777777" w:rsidR="008E0119" w:rsidRPr="00C81306" w:rsidRDefault="00D8072A" w:rsidP="00CD19C1">
            <w:pPr>
              <w:pStyle w:val="a6"/>
              <w:shd w:val="clear" w:color="auto" w:fill="auto"/>
              <w:ind w:left="142" w:firstLine="0"/>
              <w:rPr>
                <w:sz w:val="16"/>
                <w:szCs w:val="16"/>
              </w:rPr>
            </w:pPr>
            <w:r w:rsidRPr="00C81306">
              <w:rPr>
                <w:sz w:val="16"/>
                <w:szCs w:val="16"/>
                <w:lang w:bidi="ru-RU"/>
              </w:rPr>
              <w:t>Натрий (мг/1000 ккал)</w:t>
            </w:r>
          </w:p>
        </w:tc>
        <w:tc>
          <w:tcPr>
            <w:tcW w:w="765" w:type="pct"/>
            <w:shd w:val="clear" w:color="auto" w:fill="FFFFFF"/>
            <w:vAlign w:val="center"/>
          </w:tcPr>
          <w:p w14:paraId="4F39FE9A"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2047,3 ± 29,8</w:t>
            </w:r>
          </w:p>
        </w:tc>
        <w:tc>
          <w:tcPr>
            <w:tcW w:w="954" w:type="pct"/>
            <w:shd w:val="clear" w:color="auto" w:fill="FFFFFF"/>
            <w:vAlign w:val="center"/>
          </w:tcPr>
          <w:p w14:paraId="4F39FE9B"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2511,0 ± 33,5</w:t>
            </w:r>
          </w:p>
        </w:tc>
        <w:tc>
          <w:tcPr>
            <w:tcW w:w="982" w:type="pct"/>
            <w:shd w:val="clear" w:color="auto" w:fill="FFFFFF"/>
            <w:vAlign w:val="center"/>
          </w:tcPr>
          <w:p w14:paraId="4F39FE9C"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2777,4 ± 34,1</w:t>
            </w:r>
          </w:p>
        </w:tc>
        <w:tc>
          <w:tcPr>
            <w:tcW w:w="586" w:type="pct"/>
            <w:shd w:val="clear" w:color="auto" w:fill="FFFFFF"/>
            <w:vAlign w:val="center"/>
          </w:tcPr>
          <w:p w14:paraId="4F39FE9D"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3205,4 ± 47,1</w:t>
            </w:r>
          </w:p>
        </w:tc>
      </w:tr>
      <w:tr w:rsidR="008E0119" w:rsidRPr="00C81306" w14:paraId="4F39FEA4" w14:textId="77777777" w:rsidTr="00CD19C1">
        <w:trPr>
          <w:trHeight w:val="57"/>
        </w:trPr>
        <w:tc>
          <w:tcPr>
            <w:tcW w:w="1713" w:type="pct"/>
            <w:tcBorders>
              <w:bottom w:val="single" w:sz="4" w:space="0" w:color="auto"/>
            </w:tcBorders>
            <w:shd w:val="clear" w:color="auto" w:fill="FFFFFF"/>
            <w:vAlign w:val="center"/>
          </w:tcPr>
          <w:p w14:paraId="4F39FE9F" w14:textId="5AD6B6BB" w:rsidR="008E0119" w:rsidRPr="00C81306" w:rsidRDefault="00D8072A" w:rsidP="00CD19C1">
            <w:pPr>
              <w:pStyle w:val="a6"/>
              <w:shd w:val="clear" w:color="auto" w:fill="auto"/>
              <w:ind w:left="142" w:firstLine="0"/>
              <w:rPr>
                <w:sz w:val="16"/>
                <w:szCs w:val="16"/>
              </w:rPr>
            </w:pPr>
            <w:r w:rsidRPr="00C81306">
              <w:rPr>
                <w:sz w:val="16"/>
                <w:szCs w:val="16"/>
                <w:lang w:bidi="ru-RU"/>
              </w:rPr>
              <w:t>Отношение Na:K</w:t>
            </w:r>
            <w:hyperlink w:anchor="bookmark40" w:tooltip="Текущий документ">
              <w:r w:rsidRPr="00C81306">
                <w:rPr>
                  <w:color w:val="000066"/>
                  <w:sz w:val="16"/>
                  <w:szCs w:val="16"/>
                  <w:vertAlign w:val="superscript"/>
                  <w:lang w:bidi="ru-RU"/>
                </w:rPr>
                <w:t>d</w:t>
              </w:r>
            </w:hyperlink>
          </w:p>
        </w:tc>
        <w:tc>
          <w:tcPr>
            <w:tcW w:w="765" w:type="pct"/>
            <w:tcBorders>
              <w:bottom w:val="single" w:sz="4" w:space="0" w:color="auto"/>
            </w:tcBorders>
            <w:shd w:val="clear" w:color="auto" w:fill="FFFFFF"/>
            <w:vAlign w:val="center"/>
          </w:tcPr>
          <w:p w14:paraId="4F39FEA0"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2,0 ± 0,0</w:t>
            </w:r>
          </w:p>
        </w:tc>
        <w:tc>
          <w:tcPr>
            <w:tcW w:w="954" w:type="pct"/>
            <w:tcBorders>
              <w:bottom w:val="single" w:sz="4" w:space="0" w:color="auto"/>
            </w:tcBorders>
            <w:shd w:val="clear" w:color="auto" w:fill="FFFFFF"/>
            <w:vAlign w:val="center"/>
          </w:tcPr>
          <w:p w14:paraId="4F39FEA1"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1,8 ± 0,0</w:t>
            </w:r>
          </w:p>
        </w:tc>
        <w:tc>
          <w:tcPr>
            <w:tcW w:w="982" w:type="pct"/>
            <w:tcBorders>
              <w:bottom w:val="single" w:sz="4" w:space="0" w:color="auto"/>
            </w:tcBorders>
            <w:shd w:val="clear" w:color="auto" w:fill="FFFFFF"/>
            <w:vAlign w:val="center"/>
          </w:tcPr>
          <w:p w14:paraId="4F39FEA2"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1,6 ± 0,0</w:t>
            </w:r>
          </w:p>
        </w:tc>
        <w:tc>
          <w:tcPr>
            <w:tcW w:w="586" w:type="pct"/>
            <w:tcBorders>
              <w:bottom w:val="single" w:sz="4" w:space="0" w:color="auto"/>
            </w:tcBorders>
            <w:shd w:val="clear" w:color="auto" w:fill="FFFFFF"/>
            <w:vAlign w:val="center"/>
          </w:tcPr>
          <w:p w14:paraId="4F39FEA3" w14:textId="77777777" w:rsidR="008E0119" w:rsidRPr="00C81306" w:rsidRDefault="00D8072A" w:rsidP="00CD19C1">
            <w:pPr>
              <w:pStyle w:val="a6"/>
              <w:shd w:val="clear" w:color="auto" w:fill="auto"/>
              <w:ind w:firstLine="0"/>
              <w:jc w:val="center"/>
              <w:rPr>
                <w:sz w:val="16"/>
                <w:szCs w:val="16"/>
              </w:rPr>
            </w:pPr>
            <w:r w:rsidRPr="00C81306">
              <w:rPr>
                <w:sz w:val="16"/>
                <w:szCs w:val="16"/>
                <w:lang w:bidi="ru-RU"/>
              </w:rPr>
              <w:t>1,4 ± 0,0</w:t>
            </w:r>
          </w:p>
        </w:tc>
      </w:tr>
    </w:tbl>
    <w:p w14:paraId="4F39FEA5" w14:textId="77777777" w:rsidR="008E0119" w:rsidRPr="00C81306" w:rsidRDefault="00D8072A" w:rsidP="00C81306">
      <w:pPr>
        <w:pStyle w:val="a4"/>
        <w:shd w:val="clear" w:color="auto" w:fill="auto"/>
        <w:spacing w:before="40"/>
        <w:jc w:val="both"/>
        <w:rPr>
          <w:sz w:val="16"/>
          <w:szCs w:val="16"/>
        </w:rPr>
      </w:pPr>
      <w:bookmarkStart w:id="37" w:name="bookmark37"/>
      <w:r w:rsidRPr="00C81306">
        <w:rPr>
          <w:sz w:val="16"/>
          <w:szCs w:val="16"/>
          <w:lang w:bidi="ru-RU"/>
        </w:rPr>
        <w:t>Данные представлены в виде средних значений с поправкой на возраст или распространенности (%) </w:t>
      </w:r>
      <w:r w:rsidRPr="00C81306">
        <w:rPr>
          <w:rFonts w:eastAsia="Arial"/>
          <w:sz w:val="16"/>
          <w:szCs w:val="16"/>
          <w:lang w:bidi="ru-RU"/>
        </w:rPr>
        <w:t xml:space="preserve">± </w:t>
      </w:r>
      <w:r w:rsidRPr="00C81306">
        <w:rPr>
          <w:sz w:val="16"/>
          <w:szCs w:val="16"/>
          <w:lang w:bidi="ru-RU"/>
        </w:rPr>
        <w:t>стандартная ошибка, за исключением возраста и уровня потребления калия.</w:t>
      </w:r>
      <w:bookmarkEnd w:id="37"/>
    </w:p>
    <w:p w14:paraId="4F39FEA6" w14:textId="77777777" w:rsidR="008E0119" w:rsidRPr="00C81306" w:rsidRDefault="00D8072A" w:rsidP="00C81306">
      <w:pPr>
        <w:pStyle w:val="a4"/>
        <w:shd w:val="clear" w:color="auto" w:fill="auto"/>
        <w:jc w:val="both"/>
        <w:rPr>
          <w:sz w:val="16"/>
          <w:szCs w:val="16"/>
        </w:rPr>
      </w:pPr>
      <w:bookmarkStart w:id="38" w:name="bookmark38"/>
      <w:r w:rsidRPr="00C81306">
        <w:rPr>
          <w:sz w:val="16"/>
          <w:szCs w:val="16"/>
          <w:vertAlign w:val="superscript"/>
          <w:lang w:bidi="ru-RU"/>
        </w:rPr>
        <w:t>a</w:t>
      </w:r>
      <w:r w:rsidRPr="00C81306">
        <w:rPr>
          <w:sz w:val="16"/>
          <w:szCs w:val="16"/>
          <w:lang w:bidi="ru-RU"/>
        </w:rPr>
        <w:t xml:space="preserve"> Нескорректированные величины.</w:t>
      </w:r>
      <w:bookmarkEnd w:id="38"/>
    </w:p>
    <w:p w14:paraId="4F39FEA7" w14:textId="77777777" w:rsidR="008E0119" w:rsidRPr="00C81306" w:rsidRDefault="00D8072A" w:rsidP="00C81306">
      <w:pPr>
        <w:pStyle w:val="a4"/>
        <w:shd w:val="clear" w:color="auto" w:fill="auto"/>
        <w:jc w:val="both"/>
        <w:rPr>
          <w:sz w:val="16"/>
          <w:szCs w:val="16"/>
        </w:rPr>
      </w:pPr>
      <w:bookmarkStart w:id="39" w:name="bookmark39"/>
      <w:r w:rsidRPr="00C81306">
        <w:rPr>
          <w:sz w:val="16"/>
          <w:szCs w:val="16"/>
          <w:vertAlign w:val="superscript"/>
          <w:lang w:bidi="ru-RU"/>
        </w:rPr>
        <w:t>b</w:t>
      </w:r>
      <w:r w:rsidRPr="00C81306">
        <w:rPr>
          <w:sz w:val="16"/>
          <w:szCs w:val="16"/>
          <w:lang w:bidi="ru-RU"/>
        </w:rPr>
        <w:t xml:space="preserve"> Ежемесячный приведенный к эквиваленту семейный доход.</w:t>
      </w:r>
      <w:bookmarkEnd w:id="39"/>
      <w:r w:rsidRPr="00C81306">
        <w:rPr>
          <w:sz w:val="16"/>
          <w:szCs w:val="16"/>
          <w:lang w:bidi="ru-RU"/>
        </w:rPr>
        <w:t xml:space="preserve"> </w:t>
      </w:r>
    </w:p>
    <w:p w14:paraId="4F39FEA8" w14:textId="77777777" w:rsidR="008E0119" w:rsidRPr="00C81306" w:rsidRDefault="00D8072A" w:rsidP="00C81306">
      <w:pPr>
        <w:pStyle w:val="a4"/>
        <w:shd w:val="clear" w:color="auto" w:fill="auto"/>
        <w:jc w:val="both"/>
        <w:rPr>
          <w:sz w:val="16"/>
          <w:szCs w:val="16"/>
        </w:rPr>
      </w:pPr>
      <w:bookmarkStart w:id="40" w:name="bookmark40"/>
      <w:r w:rsidRPr="00C81306">
        <w:rPr>
          <w:sz w:val="16"/>
          <w:szCs w:val="16"/>
          <w:vertAlign w:val="superscript"/>
          <w:lang w:bidi="ru-RU"/>
        </w:rPr>
        <w:t>c</w:t>
      </w:r>
      <w:r w:rsidRPr="00C81306">
        <w:rPr>
          <w:sz w:val="16"/>
          <w:szCs w:val="16"/>
          <w:lang w:bidi="ru-RU"/>
        </w:rPr>
        <w:t xml:space="preserve"> Выде</w:t>
      </w:r>
      <w:r w:rsidRPr="00C81306">
        <w:rPr>
          <w:rFonts w:eastAsia="Arial"/>
          <w:sz w:val="16"/>
          <w:szCs w:val="16"/>
          <w:lang w:bidi="ru-RU"/>
        </w:rPr>
        <w:t>ля</w:t>
      </w:r>
      <w:r w:rsidRPr="00C81306">
        <w:rPr>
          <w:sz w:val="16"/>
          <w:szCs w:val="16"/>
          <w:lang w:bidi="ru-RU"/>
        </w:rPr>
        <w:t>ли низкий (</w:t>
      </w:r>
      <w:r w:rsidRPr="00C81306">
        <w:rPr>
          <w:rFonts w:eastAsia="Arial"/>
          <w:sz w:val="16"/>
          <w:szCs w:val="16"/>
          <w:lang w:bidi="ru-RU"/>
        </w:rPr>
        <w:t>&lt;</w:t>
      </w:r>
      <w:r w:rsidRPr="00C81306">
        <w:rPr>
          <w:sz w:val="16"/>
          <w:szCs w:val="16"/>
          <w:lang w:bidi="ru-RU"/>
        </w:rPr>
        <w:t xml:space="preserve"> 600 МЭН-мин в неделю), средний (от </w:t>
      </w:r>
      <w:r w:rsidRPr="00C81306">
        <w:rPr>
          <w:rFonts w:eastAsia="Arial"/>
          <w:sz w:val="16"/>
          <w:szCs w:val="16"/>
          <w:lang w:bidi="ru-RU"/>
        </w:rPr>
        <w:t>≥</w:t>
      </w:r>
      <w:r w:rsidRPr="00C81306">
        <w:rPr>
          <w:sz w:val="16"/>
          <w:szCs w:val="16"/>
          <w:lang w:bidi="ru-RU"/>
        </w:rPr>
        <w:t xml:space="preserve"> 600 до </w:t>
      </w:r>
      <w:r w:rsidRPr="00C81306">
        <w:rPr>
          <w:rFonts w:eastAsia="Arial"/>
          <w:sz w:val="16"/>
          <w:szCs w:val="16"/>
          <w:lang w:bidi="ru-RU"/>
        </w:rPr>
        <w:t>&lt;</w:t>
      </w:r>
      <w:r w:rsidRPr="00C81306">
        <w:rPr>
          <w:sz w:val="16"/>
          <w:szCs w:val="16"/>
          <w:lang w:bidi="ru-RU"/>
        </w:rPr>
        <w:t> 3000 МЭН-мин в неделю) и высокий (</w:t>
      </w:r>
      <w:r w:rsidRPr="00C81306">
        <w:rPr>
          <w:rFonts w:eastAsia="Arial"/>
          <w:sz w:val="16"/>
          <w:szCs w:val="16"/>
          <w:lang w:bidi="ru-RU"/>
        </w:rPr>
        <w:t>≥</w:t>
      </w:r>
      <w:r w:rsidRPr="00C81306">
        <w:rPr>
          <w:sz w:val="16"/>
          <w:szCs w:val="16"/>
          <w:lang w:bidi="ru-RU"/>
        </w:rPr>
        <w:t xml:space="preserve"> 3000 МЭН-мин в неделю) уровни физической активности. </w:t>
      </w:r>
      <w:r w:rsidRPr="00C81306">
        <w:rPr>
          <w:sz w:val="16"/>
          <w:szCs w:val="16"/>
          <w:vertAlign w:val="superscript"/>
          <w:lang w:bidi="ru-RU"/>
        </w:rPr>
        <w:t>d</w:t>
      </w:r>
      <w:r w:rsidRPr="00C81306">
        <w:rPr>
          <w:sz w:val="16"/>
          <w:szCs w:val="16"/>
          <w:lang w:bidi="ru-RU"/>
        </w:rPr>
        <w:t xml:space="preserve"> Отношение натрия к калию в составе рациона.</w:t>
      </w:r>
      <w:bookmarkEnd w:id="40"/>
    </w:p>
    <w:p w14:paraId="4F39FEA9" w14:textId="77777777" w:rsidR="00CD19C1" w:rsidRPr="00A16EEF" w:rsidRDefault="00CD19C1">
      <w:pPr>
        <w:pStyle w:val="a4"/>
        <w:shd w:val="clear" w:color="auto" w:fill="auto"/>
        <w:spacing w:line="240" w:lineRule="auto"/>
        <w:rPr>
          <w:rFonts w:eastAsia="Arial"/>
          <w:sz w:val="13"/>
          <w:szCs w:val="13"/>
        </w:rPr>
      </w:pPr>
      <w:r w:rsidRPr="00A16EEF">
        <w:rPr>
          <w:rFonts w:eastAsia="Arial"/>
          <w:sz w:val="13"/>
          <w:szCs w:val="13"/>
          <w:lang w:bidi="ru-RU"/>
        </w:rPr>
        <w:br w:type="page"/>
      </w:r>
    </w:p>
    <w:p w14:paraId="4F39FEAA" w14:textId="77777777" w:rsidR="008E0119" w:rsidRPr="00C81306" w:rsidRDefault="00D8072A">
      <w:pPr>
        <w:pStyle w:val="a4"/>
        <w:shd w:val="clear" w:color="auto" w:fill="auto"/>
        <w:spacing w:line="240" w:lineRule="auto"/>
        <w:rPr>
          <w:b/>
          <w:sz w:val="16"/>
          <w:szCs w:val="16"/>
        </w:rPr>
      </w:pPr>
      <w:r w:rsidRPr="00C81306">
        <w:rPr>
          <w:rFonts w:eastAsia="Arial"/>
          <w:b/>
          <w:sz w:val="16"/>
          <w:szCs w:val="16"/>
          <w:lang w:bidi="ru-RU"/>
        </w:rPr>
        <w:lastRenderedPageBreak/>
        <w:t>Таблица 2.</w:t>
      </w:r>
    </w:p>
    <w:p w14:paraId="4F39FEAB" w14:textId="77777777" w:rsidR="008E0119" w:rsidRPr="00C81306" w:rsidRDefault="00D8072A">
      <w:pPr>
        <w:pStyle w:val="a4"/>
        <w:shd w:val="clear" w:color="auto" w:fill="auto"/>
        <w:spacing w:line="240" w:lineRule="auto"/>
        <w:rPr>
          <w:sz w:val="16"/>
          <w:szCs w:val="16"/>
        </w:rPr>
      </w:pPr>
      <w:r w:rsidRPr="00C81306">
        <w:rPr>
          <w:sz w:val="16"/>
          <w:szCs w:val="16"/>
          <w:lang w:bidi="ru-RU"/>
        </w:rPr>
        <w:t>Отношения шансов метаболического синдрома и его компонентов в соответствии с квартилями уровня потребления калия по данным многофакторного анализа.</w:t>
      </w:r>
    </w:p>
    <w:tbl>
      <w:tblPr>
        <w:tblOverlap w:val="never"/>
        <w:tblW w:w="0" w:type="auto"/>
        <w:tblInd w:w="10" w:type="dxa"/>
        <w:tblLayout w:type="fixed"/>
        <w:tblCellMar>
          <w:top w:w="17" w:type="dxa"/>
          <w:left w:w="17" w:type="dxa"/>
          <w:bottom w:w="17" w:type="dxa"/>
          <w:right w:w="17" w:type="dxa"/>
        </w:tblCellMar>
        <w:tblLook w:val="0000" w:firstRow="0" w:lastRow="0" w:firstColumn="0" w:lastColumn="0" w:noHBand="0" w:noVBand="0"/>
      </w:tblPr>
      <w:tblGrid>
        <w:gridCol w:w="2126"/>
        <w:gridCol w:w="1594"/>
        <w:gridCol w:w="1944"/>
        <w:gridCol w:w="1886"/>
        <w:gridCol w:w="1992"/>
        <w:gridCol w:w="898"/>
      </w:tblGrid>
      <w:tr w:rsidR="008E0119" w:rsidRPr="00C81306" w14:paraId="4F39FEAE" w14:textId="77777777" w:rsidTr="00CD19C1">
        <w:trPr>
          <w:trHeight w:val="20"/>
        </w:trPr>
        <w:tc>
          <w:tcPr>
            <w:tcW w:w="2126" w:type="dxa"/>
            <w:vMerge w:val="restart"/>
            <w:tcBorders>
              <w:top w:val="single" w:sz="4" w:space="0" w:color="auto"/>
            </w:tcBorders>
            <w:shd w:val="clear" w:color="auto" w:fill="FFFFFF"/>
            <w:vAlign w:val="center"/>
          </w:tcPr>
          <w:p w14:paraId="4F39FEAC" w14:textId="77777777" w:rsidR="008E0119" w:rsidRPr="00C81306" w:rsidRDefault="008E0119" w:rsidP="00CD19C1">
            <w:pPr>
              <w:rPr>
                <w:rFonts w:ascii="Times New Roman" w:hAnsi="Times New Roman" w:cs="Times New Roman"/>
                <w:sz w:val="16"/>
                <w:szCs w:val="16"/>
              </w:rPr>
            </w:pPr>
          </w:p>
        </w:tc>
        <w:tc>
          <w:tcPr>
            <w:tcW w:w="8314" w:type="dxa"/>
            <w:gridSpan w:val="5"/>
            <w:tcBorders>
              <w:top w:val="single" w:sz="4" w:space="0" w:color="auto"/>
            </w:tcBorders>
            <w:shd w:val="clear" w:color="auto" w:fill="FFFFFF"/>
            <w:vAlign w:val="center"/>
          </w:tcPr>
          <w:p w14:paraId="4F39FEAD" w14:textId="77777777" w:rsidR="008E0119" w:rsidRPr="00C81306" w:rsidRDefault="00D8072A" w:rsidP="00CD19C1">
            <w:pPr>
              <w:pStyle w:val="a6"/>
              <w:shd w:val="clear" w:color="auto" w:fill="auto"/>
              <w:ind w:firstLine="0"/>
              <w:rPr>
                <w:sz w:val="16"/>
                <w:szCs w:val="16"/>
              </w:rPr>
            </w:pPr>
            <w:r w:rsidRPr="00C81306">
              <w:rPr>
                <w:sz w:val="16"/>
                <w:szCs w:val="16"/>
                <w:lang w:bidi="ru-RU"/>
              </w:rPr>
              <w:t>Уровень потребления калия</w:t>
            </w:r>
          </w:p>
        </w:tc>
      </w:tr>
      <w:tr w:rsidR="008E0119" w:rsidRPr="00C81306" w14:paraId="4F39FEB5" w14:textId="77777777" w:rsidTr="00CD19C1">
        <w:trPr>
          <w:trHeight w:val="20"/>
        </w:trPr>
        <w:tc>
          <w:tcPr>
            <w:tcW w:w="2126" w:type="dxa"/>
            <w:vMerge/>
            <w:shd w:val="clear" w:color="auto" w:fill="FFFFFF"/>
            <w:vAlign w:val="center"/>
          </w:tcPr>
          <w:p w14:paraId="4F39FEAF" w14:textId="77777777" w:rsidR="008E0119" w:rsidRPr="00C81306" w:rsidRDefault="008E0119" w:rsidP="00CD19C1">
            <w:pPr>
              <w:rPr>
                <w:rFonts w:ascii="Times New Roman" w:hAnsi="Times New Roman" w:cs="Times New Roman"/>
                <w:sz w:val="16"/>
                <w:szCs w:val="16"/>
              </w:rPr>
            </w:pPr>
          </w:p>
        </w:tc>
        <w:tc>
          <w:tcPr>
            <w:tcW w:w="1594" w:type="dxa"/>
            <w:tcBorders>
              <w:top w:val="single" w:sz="4" w:space="0" w:color="auto"/>
            </w:tcBorders>
            <w:shd w:val="clear" w:color="auto" w:fill="FFFFFF"/>
            <w:vAlign w:val="center"/>
          </w:tcPr>
          <w:p w14:paraId="4F39FEB0"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1</w:t>
            </w:r>
          </w:p>
        </w:tc>
        <w:tc>
          <w:tcPr>
            <w:tcW w:w="1944" w:type="dxa"/>
            <w:tcBorders>
              <w:top w:val="single" w:sz="4" w:space="0" w:color="auto"/>
            </w:tcBorders>
            <w:shd w:val="clear" w:color="auto" w:fill="FFFFFF"/>
            <w:vAlign w:val="center"/>
          </w:tcPr>
          <w:p w14:paraId="4F39FEB1"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2</w:t>
            </w:r>
          </w:p>
        </w:tc>
        <w:tc>
          <w:tcPr>
            <w:tcW w:w="1886" w:type="dxa"/>
            <w:tcBorders>
              <w:top w:val="single" w:sz="4" w:space="0" w:color="auto"/>
            </w:tcBorders>
            <w:shd w:val="clear" w:color="auto" w:fill="FFFFFF"/>
            <w:vAlign w:val="center"/>
          </w:tcPr>
          <w:p w14:paraId="4F39FEB2"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3</w:t>
            </w:r>
          </w:p>
        </w:tc>
        <w:tc>
          <w:tcPr>
            <w:tcW w:w="1992" w:type="dxa"/>
            <w:tcBorders>
              <w:top w:val="single" w:sz="4" w:space="0" w:color="auto"/>
            </w:tcBorders>
            <w:shd w:val="clear" w:color="auto" w:fill="FFFFFF"/>
            <w:vAlign w:val="center"/>
          </w:tcPr>
          <w:p w14:paraId="4F39FEB3" w14:textId="77777777" w:rsidR="008E0119" w:rsidRPr="00C81306" w:rsidRDefault="00D8072A" w:rsidP="00CD19C1">
            <w:pPr>
              <w:pStyle w:val="a6"/>
              <w:shd w:val="clear" w:color="auto" w:fill="auto"/>
              <w:ind w:firstLine="0"/>
              <w:rPr>
                <w:sz w:val="16"/>
                <w:szCs w:val="16"/>
              </w:rPr>
            </w:pPr>
            <w:r w:rsidRPr="00C81306">
              <w:rPr>
                <w:sz w:val="16"/>
                <w:szCs w:val="16"/>
                <w:lang w:bidi="ru-RU"/>
              </w:rPr>
              <w:t>Квартиль 4</w:t>
            </w:r>
          </w:p>
        </w:tc>
        <w:tc>
          <w:tcPr>
            <w:tcW w:w="898" w:type="dxa"/>
            <w:tcBorders>
              <w:top w:val="single" w:sz="4" w:space="0" w:color="auto"/>
            </w:tcBorders>
            <w:shd w:val="clear" w:color="auto" w:fill="FFFFFF"/>
            <w:vAlign w:val="center"/>
          </w:tcPr>
          <w:p w14:paraId="4F39FEB4" w14:textId="77777777" w:rsidR="008E0119" w:rsidRPr="00C81306" w:rsidRDefault="00D8072A" w:rsidP="00CD19C1">
            <w:pPr>
              <w:pStyle w:val="a6"/>
              <w:shd w:val="clear" w:color="auto" w:fill="auto"/>
              <w:ind w:firstLine="0"/>
              <w:rPr>
                <w:sz w:val="16"/>
                <w:szCs w:val="16"/>
              </w:rPr>
            </w:pPr>
            <w:r w:rsidRPr="00C81306">
              <w:rPr>
                <w:i/>
                <w:sz w:val="16"/>
                <w:szCs w:val="16"/>
                <w:lang w:bidi="ru-RU"/>
              </w:rPr>
              <w:t>p-</w:t>
            </w:r>
            <w:r w:rsidRPr="00C81306">
              <w:rPr>
                <w:sz w:val="16"/>
                <w:szCs w:val="16"/>
                <w:lang w:bidi="ru-RU"/>
              </w:rPr>
              <w:t>значение для тенденции</w:t>
            </w:r>
          </w:p>
        </w:tc>
      </w:tr>
      <w:tr w:rsidR="008E0119" w:rsidRPr="00C81306" w14:paraId="4F39FEBC" w14:textId="77777777" w:rsidTr="00CD19C1">
        <w:trPr>
          <w:trHeight w:val="20"/>
        </w:trPr>
        <w:tc>
          <w:tcPr>
            <w:tcW w:w="2126" w:type="dxa"/>
            <w:tcBorders>
              <w:top w:val="single" w:sz="4" w:space="0" w:color="auto"/>
            </w:tcBorders>
            <w:shd w:val="clear" w:color="auto" w:fill="FFFFFF"/>
            <w:vAlign w:val="center"/>
          </w:tcPr>
          <w:p w14:paraId="4F39FEB6" w14:textId="7A2D100D" w:rsidR="008E0119" w:rsidRPr="00C81306" w:rsidRDefault="00D8072A" w:rsidP="00CD19C1">
            <w:pPr>
              <w:pStyle w:val="a6"/>
              <w:shd w:val="clear" w:color="auto" w:fill="auto"/>
              <w:ind w:firstLine="0"/>
              <w:rPr>
                <w:sz w:val="16"/>
                <w:szCs w:val="16"/>
              </w:rPr>
            </w:pPr>
            <w:bookmarkStart w:id="41" w:name="bookmark41"/>
            <w:r w:rsidRPr="00C81306">
              <w:rPr>
                <w:sz w:val="16"/>
                <w:szCs w:val="16"/>
                <w:lang w:bidi="ru-RU"/>
              </w:rPr>
              <w:t>Метаболический синдром</w:t>
            </w:r>
            <w:hyperlink w:anchor="bookmark42" w:tooltip="Текущий документ">
              <w:r w:rsidRPr="00C81306">
                <w:rPr>
                  <w:color w:val="000066"/>
                  <w:sz w:val="16"/>
                  <w:szCs w:val="16"/>
                  <w:vertAlign w:val="superscript"/>
                  <w:lang w:bidi="ru-RU"/>
                </w:rPr>
                <w:t>a</w:t>
              </w:r>
              <w:bookmarkEnd w:id="41"/>
            </w:hyperlink>
          </w:p>
        </w:tc>
        <w:tc>
          <w:tcPr>
            <w:tcW w:w="1594" w:type="dxa"/>
            <w:tcBorders>
              <w:top w:val="single" w:sz="4" w:space="0" w:color="auto"/>
            </w:tcBorders>
            <w:shd w:val="clear" w:color="auto" w:fill="FFFFFF"/>
            <w:vAlign w:val="center"/>
          </w:tcPr>
          <w:p w14:paraId="4F39FEB7" w14:textId="77777777" w:rsidR="008E0119" w:rsidRPr="00C81306" w:rsidRDefault="008E0119" w:rsidP="00CD19C1">
            <w:pPr>
              <w:rPr>
                <w:rFonts w:ascii="Times New Roman" w:hAnsi="Times New Roman" w:cs="Times New Roman"/>
                <w:sz w:val="16"/>
                <w:szCs w:val="16"/>
              </w:rPr>
            </w:pPr>
          </w:p>
        </w:tc>
        <w:tc>
          <w:tcPr>
            <w:tcW w:w="1944" w:type="dxa"/>
            <w:tcBorders>
              <w:top w:val="single" w:sz="4" w:space="0" w:color="auto"/>
            </w:tcBorders>
            <w:shd w:val="clear" w:color="auto" w:fill="FFFFFF"/>
            <w:vAlign w:val="center"/>
          </w:tcPr>
          <w:p w14:paraId="4F39FEB8" w14:textId="77777777" w:rsidR="008E0119" w:rsidRPr="00C81306" w:rsidRDefault="008E0119" w:rsidP="00CD19C1">
            <w:pPr>
              <w:rPr>
                <w:rFonts w:ascii="Times New Roman" w:hAnsi="Times New Roman" w:cs="Times New Roman"/>
                <w:sz w:val="16"/>
                <w:szCs w:val="16"/>
              </w:rPr>
            </w:pPr>
          </w:p>
        </w:tc>
        <w:tc>
          <w:tcPr>
            <w:tcW w:w="1886" w:type="dxa"/>
            <w:tcBorders>
              <w:top w:val="single" w:sz="4" w:space="0" w:color="auto"/>
            </w:tcBorders>
            <w:shd w:val="clear" w:color="auto" w:fill="FFFFFF"/>
            <w:vAlign w:val="center"/>
          </w:tcPr>
          <w:p w14:paraId="4F39FEB9" w14:textId="77777777" w:rsidR="008E0119" w:rsidRPr="00C81306" w:rsidRDefault="008E0119" w:rsidP="00CD19C1">
            <w:pPr>
              <w:rPr>
                <w:rFonts w:ascii="Times New Roman" w:hAnsi="Times New Roman" w:cs="Times New Roman"/>
                <w:sz w:val="16"/>
                <w:szCs w:val="16"/>
              </w:rPr>
            </w:pPr>
          </w:p>
        </w:tc>
        <w:tc>
          <w:tcPr>
            <w:tcW w:w="1992" w:type="dxa"/>
            <w:tcBorders>
              <w:top w:val="single" w:sz="4" w:space="0" w:color="auto"/>
            </w:tcBorders>
            <w:shd w:val="clear" w:color="auto" w:fill="FFFFFF"/>
            <w:vAlign w:val="center"/>
          </w:tcPr>
          <w:p w14:paraId="4F39FEBA" w14:textId="77777777" w:rsidR="008E0119" w:rsidRPr="00C81306" w:rsidRDefault="008E0119" w:rsidP="00CD19C1">
            <w:pPr>
              <w:rPr>
                <w:rFonts w:ascii="Times New Roman" w:hAnsi="Times New Roman" w:cs="Times New Roman"/>
                <w:sz w:val="16"/>
                <w:szCs w:val="16"/>
              </w:rPr>
            </w:pPr>
          </w:p>
        </w:tc>
        <w:tc>
          <w:tcPr>
            <w:tcW w:w="898" w:type="dxa"/>
            <w:tcBorders>
              <w:top w:val="single" w:sz="4" w:space="0" w:color="auto"/>
            </w:tcBorders>
            <w:shd w:val="clear" w:color="auto" w:fill="FFFFFF"/>
            <w:vAlign w:val="center"/>
          </w:tcPr>
          <w:p w14:paraId="4F39FEBB" w14:textId="77777777" w:rsidR="008E0119" w:rsidRPr="00C81306" w:rsidRDefault="008E0119" w:rsidP="00CD19C1">
            <w:pPr>
              <w:rPr>
                <w:rFonts w:ascii="Times New Roman" w:hAnsi="Times New Roman" w:cs="Times New Roman"/>
                <w:sz w:val="16"/>
                <w:szCs w:val="16"/>
              </w:rPr>
            </w:pPr>
          </w:p>
        </w:tc>
      </w:tr>
      <w:tr w:rsidR="008E0119" w:rsidRPr="00C81306" w14:paraId="4F39FEC3" w14:textId="77777777" w:rsidTr="00CD19C1">
        <w:trPr>
          <w:trHeight w:val="20"/>
        </w:trPr>
        <w:tc>
          <w:tcPr>
            <w:tcW w:w="2126" w:type="dxa"/>
            <w:shd w:val="clear" w:color="auto" w:fill="FFFFFF"/>
            <w:vAlign w:val="center"/>
          </w:tcPr>
          <w:p w14:paraId="4F39FEBD"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EBE" w14:textId="77777777" w:rsidR="008E0119" w:rsidRPr="00C81306" w:rsidRDefault="00D8072A" w:rsidP="00CD19C1">
            <w:pPr>
              <w:pStyle w:val="a6"/>
              <w:shd w:val="clear" w:color="auto" w:fill="auto"/>
              <w:ind w:firstLine="0"/>
              <w:rPr>
                <w:sz w:val="16"/>
                <w:szCs w:val="16"/>
              </w:rPr>
            </w:pPr>
            <w:r w:rsidRPr="00C81306">
              <w:rPr>
                <w:sz w:val="16"/>
                <w:szCs w:val="16"/>
                <w:lang w:bidi="ru-RU"/>
              </w:rPr>
              <w:t>369 (16,0)</w:t>
            </w:r>
          </w:p>
        </w:tc>
        <w:tc>
          <w:tcPr>
            <w:tcW w:w="1944" w:type="dxa"/>
            <w:shd w:val="clear" w:color="auto" w:fill="FFFFFF"/>
            <w:vAlign w:val="center"/>
          </w:tcPr>
          <w:p w14:paraId="4F39FEBF" w14:textId="77777777" w:rsidR="008E0119" w:rsidRPr="00C81306" w:rsidRDefault="00D8072A" w:rsidP="00CD19C1">
            <w:pPr>
              <w:pStyle w:val="a6"/>
              <w:shd w:val="clear" w:color="auto" w:fill="auto"/>
              <w:ind w:firstLine="0"/>
              <w:rPr>
                <w:sz w:val="16"/>
                <w:szCs w:val="16"/>
              </w:rPr>
            </w:pPr>
            <w:r w:rsidRPr="00C81306">
              <w:rPr>
                <w:sz w:val="16"/>
                <w:szCs w:val="16"/>
                <w:lang w:bidi="ru-RU"/>
              </w:rPr>
              <w:t>310 (16,5)</w:t>
            </w:r>
          </w:p>
        </w:tc>
        <w:tc>
          <w:tcPr>
            <w:tcW w:w="1886" w:type="dxa"/>
            <w:shd w:val="clear" w:color="auto" w:fill="FFFFFF"/>
            <w:vAlign w:val="center"/>
          </w:tcPr>
          <w:p w14:paraId="4F39FEC0" w14:textId="77777777" w:rsidR="008E0119" w:rsidRPr="00C81306" w:rsidRDefault="00D8072A" w:rsidP="00CD19C1">
            <w:pPr>
              <w:pStyle w:val="a6"/>
              <w:shd w:val="clear" w:color="auto" w:fill="auto"/>
              <w:ind w:firstLine="0"/>
              <w:rPr>
                <w:sz w:val="16"/>
                <w:szCs w:val="16"/>
              </w:rPr>
            </w:pPr>
            <w:r w:rsidRPr="00C81306">
              <w:rPr>
                <w:sz w:val="16"/>
                <w:szCs w:val="16"/>
                <w:lang w:bidi="ru-RU"/>
              </w:rPr>
              <w:t>297 (15,8)</w:t>
            </w:r>
          </w:p>
        </w:tc>
        <w:tc>
          <w:tcPr>
            <w:tcW w:w="1992" w:type="dxa"/>
            <w:shd w:val="clear" w:color="auto" w:fill="FFFFFF"/>
            <w:vAlign w:val="center"/>
          </w:tcPr>
          <w:p w14:paraId="4F39FEC1" w14:textId="77777777" w:rsidR="008E0119" w:rsidRPr="00C81306" w:rsidRDefault="00D8072A" w:rsidP="00CD19C1">
            <w:pPr>
              <w:pStyle w:val="a6"/>
              <w:shd w:val="clear" w:color="auto" w:fill="auto"/>
              <w:ind w:firstLine="0"/>
              <w:rPr>
                <w:sz w:val="16"/>
                <w:szCs w:val="16"/>
              </w:rPr>
            </w:pPr>
            <w:r w:rsidRPr="00C81306">
              <w:rPr>
                <w:sz w:val="16"/>
                <w:szCs w:val="16"/>
                <w:lang w:bidi="ru-RU"/>
              </w:rPr>
              <w:t>293 (15,5)</w:t>
            </w:r>
          </w:p>
        </w:tc>
        <w:tc>
          <w:tcPr>
            <w:tcW w:w="898" w:type="dxa"/>
            <w:shd w:val="clear" w:color="auto" w:fill="FFFFFF"/>
            <w:vAlign w:val="center"/>
          </w:tcPr>
          <w:p w14:paraId="4F39FEC2"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ECA" w14:textId="77777777" w:rsidTr="00CD19C1">
        <w:trPr>
          <w:trHeight w:val="20"/>
        </w:trPr>
        <w:tc>
          <w:tcPr>
            <w:tcW w:w="2126" w:type="dxa"/>
            <w:shd w:val="clear" w:color="auto" w:fill="FFFFFF"/>
            <w:vAlign w:val="center"/>
          </w:tcPr>
          <w:p w14:paraId="4F39FEC4" w14:textId="2DCDC70C"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EC5"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C6" w14:textId="77777777" w:rsidR="008E0119" w:rsidRPr="00C81306" w:rsidRDefault="00D8072A" w:rsidP="00CD19C1">
            <w:pPr>
              <w:pStyle w:val="a6"/>
              <w:shd w:val="clear" w:color="auto" w:fill="auto"/>
              <w:ind w:firstLine="0"/>
              <w:rPr>
                <w:sz w:val="16"/>
                <w:szCs w:val="16"/>
              </w:rPr>
            </w:pPr>
            <w:r w:rsidRPr="00C81306">
              <w:rPr>
                <w:sz w:val="16"/>
                <w:szCs w:val="16"/>
                <w:lang w:bidi="ru-RU"/>
              </w:rPr>
              <w:t>0,82 (0,64‒1,06)</w:t>
            </w:r>
          </w:p>
        </w:tc>
        <w:tc>
          <w:tcPr>
            <w:tcW w:w="1886" w:type="dxa"/>
            <w:shd w:val="clear" w:color="auto" w:fill="FFFFFF"/>
            <w:vAlign w:val="center"/>
          </w:tcPr>
          <w:p w14:paraId="4F39FEC7" w14:textId="77777777" w:rsidR="008E0119" w:rsidRPr="00C81306" w:rsidRDefault="00D8072A" w:rsidP="00CD19C1">
            <w:pPr>
              <w:pStyle w:val="a6"/>
              <w:shd w:val="clear" w:color="auto" w:fill="auto"/>
              <w:ind w:firstLine="0"/>
              <w:rPr>
                <w:sz w:val="16"/>
                <w:szCs w:val="16"/>
              </w:rPr>
            </w:pPr>
            <w:r w:rsidRPr="00C81306">
              <w:rPr>
                <w:sz w:val="16"/>
                <w:szCs w:val="16"/>
                <w:lang w:bidi="ru-RU"/>
              </w:rPr>
              <w:t>0,81 (0,62‒1,04)</w:t>
            </w:r>
          </w:p>
        </w:tc>
        <w:tc>
          <w:tcPr>
            <w:tcW w:w="1992" w:type="dxa"/>
            <w:shd w:val="clear" w:color="auto" w:fill="FFFFFF"/>
            <w:vAlign w:val="center"/>
          </w:tcPr>
          <w:p w14:paraId="4F39FEC8" w14:textId="77777777" w:rsidR="008E0119" w:rsidRPr="00C81306" w:rsidRDefault="00D8072A" w:rsidP="00CD19C1">
            <w:pPr>
              <w:pStyle w:val="a6"/>
              <w:shd w:val="clear" w:color="auto" w:fill="auto"/>
              <w:ind w:firstLine="0"/>
              <w:rPr>
                <w:sz w:val="16"/>
                <w:szCs w:val="16"/>
              </w:rPr>
            </w:pPr>
            <w:r w:rsidRPr="00C81306">
              <w:rPr>
                <w:sz w:val="16"/>
                <w:szCs w:val="16"/>
                <w:lang w:bidi="ru-RU"/>
              </w:rPr>
              <w:t>0,70 (0,54‒0,90)</w:t>
            </w:r>
          </w:p>
        </w:tc>
        <w:tc>
          <w:tcPr>
            <w:tcW w:w="898" w:type="dxa"/>
            <w:shd w:val="clear" w:color="auto" w:fill="FFFFFF"/>
            <w:vAlign w:val="center"/>
          </w:tcPr>
          <w:p w14:paraId="4F39FEC9" w14:textId="77777777" w:rsidR="008E0119" w:rsidRPr="00C81306" w:rsidRDefault="00D8072A" w:rsidP="00CD19C1">
            <w:pPr>
              <w:pStyle w:val="a6"/>
              <w:shd w:val="clear" w:color="auto" w:fill="auto"/>
              <w:ind w:firstLine="0"/>
              <w:rPr>
                <w:sz w:val="16"/>
                <w:szCs w:val="16"/>
              </w:rPr>
            </w:pPr>
            <w:r w:rsidRPr="00C81306">
              <w:rPr>
                <w:sz w:val="16"/>
                <w:szCs w:val="16"/>
                <w:lang w:bidi="ru-RU"/>
              </w:rPr>
              <w:t>0,009</w:t>
            </w:r>
          </w:p>
        </w:tc>
      </w:tr>
      <w:tr w:rsidR="008E0119" w:rsidRPr="00C81306" w14:paraId="4F39FED1" w14:textId="77777777" w:rsidTr="00CD19C1">
        <w:trPr>
          <w:trHeight w:val="20"/>
        </w:trPr>
        <w:tc>
          <w:tcPr>
            <w:tcW w:w="2126" w:type="dxa"/>
            <w:shd w:val="clear" w:color="auto" w:fill="FFFFFF"/>
            <w:vAlign w:val="center"/>
          </w:tcPr>
          <w:p w14:paraId="4F39FECB" w14:textId="4A59E8CE"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ECC"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CD" w14:textId="77777777" w:rsidR="008E0119" w:rsidRPr="00C81306" w:rsidRDefault="00D8072A" w:rsidP="00CD19C1">
            <w:pPr>
              <w:pStyle w:val="a6"/>
              <w:shd w:val="clear" w:color="auto" w:fill="auto"/>
              <w:ind w:firstLine="0"/>
              <w:rPr>
                <w:sz w:val="16"/>
                <w:szCs w:val="16"/>
              </w:rPr>
            </w:pPr>
            <w:r w:rsidRPr="00C81306">
              <w:rPr>
                <w:sz w:val="16"/>
                <w:szCs w:val="16"/>
                <w:lang w:bidi="ru-RU"/>
              </w:rPr>
              <w:t>0,79 (0,61‒1,04)</w:t>
            </w:r>
          </w:p>
        </w:tc>
        <w:tc>
          <w:tcPr>
            <w:tcW w:w="1886" w:type="dxa"/>
            <w:shd w:val="clear" w:color="auto" w:fill="FFFFFF"/>
            <w:vAlign w:val="center"/>
          </w:tcPr>
          <w:p w14:paraId="4F39FECE" w14:textId="77777777" w:rsidR="008E0119" w:rsidRPr="00C81306" w:rsidRDefault="00D8072A" w:rsidP="00CD19C1">
            <w:pPr>
              <w:pStyle w:val="a6"/>
              <w:shd w:val="clear" w:color="auto" w:fill="auto"/>
              <w:ind w:firstLine="0"/>
              <w:rPr>
                <w:sz w:val="16"/>
                <w:szCs w:val="16"/>
              </w:rPr>
            </w:pPr>
            <w:r w:rsidRPr="00C81306">
              <w:rPr>
                <w:sz w:val="16"/>
                <w:szCs w:val="16"/>
                <w:lang w:bidi="ru-RU"/>
              </w:rPr>
              <w:t>0,77 (0,59‒1,00)</w:t>
            </w:r>
          </w:p>
        </w:tc>
        <w:tc>
          <w:tcPr>
            <w:tcW w:w="1992" w:type="dxa"/>
            <w:shd w:val="clear" w:color="auto" w:fill="FFFFFF"/>
            <w:vAlign w:val="center"/>
          </w:tcPr>
          <w:p w14:paraId="4F39FECF" w14:textId="77777777" w:rsidR="008E0119" w:rsidRPr="00C81306" w:rsidRDefault="00D8072A" w:rsidP="00CD19C1">
            <w:pPr>
              <w:pStyle w:val="a6"/>
              <w:shd w:val="clear" w:color="auto" w:fill="auto"/>
              <w:ind w:firstLine="0"/>
              <w:rPr>
                <w:sz w:val="16"/>
                <w:szCs w:val="16"/>
              </w:rPr>
            </w:pPr>
            <w:r w:rsidRPr="00C81306">
              <w:rPr>
                <w:sz w:val="16"/>
                <w:szCs w:val="16"/>
                <w:lang w:bidi="ru-RU"/>
              </w:rPr>
              <w:t>0,68 (0,53‒0,86)</w:t>
            </w:r>
          </w:p>
        </w:tc>
        <w:tc>
          <w:tcPr>
            <w:tcW w:w="898" w:type="dxa"/>
            <w:shd w:val="clear" w:color="auto" w:fill="FFFFFF"/>
            <w:vAlign w:val="center"/>
          </w:tcPr>
          <w:p w14:paraId="4F39FED0" w14:textId="77777777" w:rsidR="008E0119" w:rsidRPr="00C81306" w:rsidRDefault="00D8072A" w:rsidP="00CD19C1">
            <w:pPr>
              <w:pStyle w:val="a6"/>
              <w:shd w:val="clear" w:color="auto" w:fill="auto"/>
              <w:ind w:firstLine="0"/>
              <w:rPr>
                <w:sz w:val="16"/>
                <w:szCs w:val="16"/>
              </w:rPr>
            </w:pPr>
            <w:r w:rsidRPr="00C81306">
              <w:rPr>
                <w:sz w:val="16"/>
                <w:szCs w:val="16"/>
                <w:lang w:bidi="ru-RU"/>
              </w:rPr>
              <w:t>0,002</w:t>
            </w:r>
          </w:p>
        </w:tc>
      </w:tr>
      <w:tr w:rsidR="008E0119" w:rsidRPr="00C81306" w14:paraId="4F39FED8" w14:textId="77777777" w:rsidTr="00CD19C1">
        <w:trPr>
          <w:trHeight w:val="20"/>
        </w:trPr>
        <w:tc>
          <w:tcPr>
            <w:tcW w:w="2126" w:type="dxa"/>
            <w:shd w:val="clear" w:color="auto" w:fill="FFFFFF"/>
            <w:vAlign w:val="center"/>
          </w:tcPr>
          <w:p w14:paraId="4F39FED2" w14:textId="764511AE"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shd w:val="clear" w:color="auto" w:fill="FFFFFF"/>
            <w:vAlign w:val="center"/>
          </w:tcPr>
          <w:p w14:paraId="4F39FED3"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D4" w14:textId="77777777" w:rsidR="008E0119" w:rsidRPr="00C81306" w:rsidRDefault="00D8072A" w:rsidP="00CD19C1">
            <w:pPr>
              <w:pStyle w:val="a6"/>
              <w:shd w:val="clear" w:color="auto" w:fill="auto"/>
              <w:ind w:firstLine="0"/>
              <w:rPr>
                <w:sz w:val="16"/>
                <w:szCs w:val="16"/>
              </w:rPr>
            </w:pPr>
            <w:r w:rsidRPr="00C81306">
              <w:rPr>
                <w:sz w:val="16"/>
                <w:szCs w:val="16"/>
                <w:lang w:bidi="ru-RU"/>
              </w:rPr>
              <w:t>0,78 (0,58‒1,04)</w:t>
            </w:r>
          </w:p>
        </w:tc>
        <w:tc>
          <w:tcPr>
            <w:tcW w:w="1886" w:type="dxa"/>
            <w:shd w:val="clear" w:color="auto" w:fill="FFFFFF"/>
            <w:vAlign w:val="center"/>
          </w:tcPr>
          <w:p w14:paraId="4F39FED5" w14:textId="77777777" w:rsidR="008E0119" w:rsidRPr="00C81306" w:rsidRDefault="00D8072A" w:rsidP="00CD19C1">
            <w:pPr>
              <w:pStyle w:val="a6"/>
              <w:shd w:val="clear" w:color="auto" w:fill="auto"/>
              <w:ind w:firstLine="0"/>
              <w:rPr>
                <w:sz w:val="16"/>
                <w:szCs w:val="16"/>
              </w:rPr>
            </w:pPr>
            <w:r w:rsidRPr="00C81306">
              <w:rPr>
                <w:sz w:val="16"/>
                <w:szCs w:val="16"/>
                <w:lang w:bidi="ru-RU"/>
              </w:rPr>
              <w:t>0,73 (0,53‒1,00)</w:t>
            </w:r>
          </w:p>
        </w:tc>
        <w:tc>
          <w:tcPr>
            <w:tcW w:w="1992" w:type="dxa"/>
            <w:shd w:val="clear" w:color="auto" w:fill="FFFFFF"/>
            <w:vAlign w:val="center"/>
          </w:tcPr>
          <w:p w14:paraId="4F39FED6" w14:textId="77777777" w:rsidR="008E0119" w:rsidRPr="00C81306" w:rsidRDefault="00D8072A" w:rsidP="00CD19C1">
            <w:pPr>
              <w:pStyle w:val="a6"/>
              <w:shd w:val="clear" w:color="auto" w:fill="auto"/>
              <w:ind w:firstLine="0"/>
              <w:rPr>
                <w:sz w:val="16"/>
                <w:szCs w:val="16"/>
              </w:rPr>
            </w:pPr>
            <w:r w:rsidRPr="00C81306">
              <w:rPr>
                <w:sz w:val="16"/>
                <w:szCs w:val="16"/>
                <w:lang w:bidi="ru-RU"/>
              </w:rPr>
              <w:t>0,61 (0,42‒0,89)</w:t>
            </w:r>
          </w:p>
        </w:tc>
        <w:tc>
          <w:tcPr>
            <w:tcW w:w="898" w:type="dxa"/>
            <w:shd w:val="clear" w:color="auto" w:fill="FFFFFF"/>
            <w:vAlign w:val="center"/>
          </w:tcPr>
          <w:p w14:paraId="4F39FED7" w14:textId="77777777" w:rsidR="008E0119" w:rsidRPr="00C81306" w:rsidRDefault="00D8072A" w:rsidP="00CD19C1">
            <w:pPr>
              <w:pStyle w:val="a6"/>
              <w:shd w:val="clear" w:color="auto" w:fill="auto"/>
              <w:ind w:firstLine="0"/>
              <w:rPr>
                <w:sz w:val="16"/>
                <w:szCs w:val="16"/>
              </w:rPr>
            </w:pPr>
            <w:r w:rsidRPr="00C81306">
              <w:rPr>
                <w:sz w:val="16"/>
                <w:szCs w:val="16"/>
                <w:lang w:bidi="ru-RU"/>
              </w:rPr>
              <w:t>0,013</w:t>
            </w:r>
          </w:p>
        </w:tc>
      </w:tr>
      <w:tr w:rsidR="008E0119" w:rsidRPr="00C81306" w14:paraId="4F39FEDF" w14:textId="77777777" w:rsidTr="00CD19C1">
        <w:trPr>
          <w:trHeight w:val="20"/>
        </w:trPr>
        <w:tc>
          <w:tcPr>
            <w:tcW w:w="2126" w:type="dxa"/>
            <w:shd w:val="clear" w:color="auto" w:fill="FFFFFF"/>
            <w:vAlign w:val="center"/>
          </w:tcPr>
          <w:p w14:paraId="4F39FED9" w14:textId="52C44129" w:rsidR="008E0119" w:rsidRPr="00C81306" w:rsidRDefault="00D8072A" w:rsidP="00CD19C1">
            <w:pPr>
              <w:pStyle w:val="a6"/>
              <w:shd w:val="clear" w:color="auto" w:fill="auto"/>
              <w:ind w:firstLine="0"/>
              <w:rPr>
                <w:sz w:val="16"/>
                <w:szCs w:val="16"/>
              </w:rPr>
            </w:pPr>
            <w:r w:rsidRPr="00C81306">
              <w:rPr>
                <w:sz w:val="16"/>
                <w:szCs w:val="16"/>
                <w:lang w:bidi="ru-RU"/>
              </w:rPr>
              <w:t>Абдоминальное ожирение</w:t>
            </w:r>
            <w:hyperlink w:anchor="bookmark42" w:tooltip="Текущий документ">
              <w:r w:rsidRPr="00C81306">
                <w:rPr>
                  <w:color w:val="000066"/>
                  <w:sz w:val="16"/>
                  <w:szCs w:val="16"/>
                  <w:vertAlign w:val="superscript"/>
                  <w:lang w:bidi="ru-RU"/>
                </w:rPr>
                <w:t>a</w:t>
              </w:r>
            </w:hyperlink>
          </w:p>
        </w:tc>
        <w:tc>
          <w:tcPr>
            <w:tcW w:w="1594" w:type="dxa"/>
            <w:shd w:val="clear" w:color="auto" w:fill="FFFFFF"/>
            <w:vAlign w:val="center"/>
          </w:tcPr>
          <w:p w14:paraId="4F39FEDA" w14:textId="77777777" w:rsidR="008E0119" w:rsidRPr="00C81306" w:rsidRDefault="008E0119" w:rsidP="00CD19C1">
            <w:pPr>
              <w:rPr>
                <w:rFonts w:ascii="Times New Roman" w:hAnsi="Times New Roman" w:cs="Times New Roman"/>
                <w:sz w:val="16"/>
                <w:szCs w:val="16"/>
              </w:rPr>
            </w:pPr>
          </w:p>
        </w:tc>
        <w:tc>
          <w:tcPr>
            <w:tcW w:w="1944" w:type="dxa"/>
            <w:shd w:val="clear" w:color="auto" w:fill="FFFFFF"/>
            <w:vAlign w:val="center"/>
          </w:tcPr>
          <w:p w14:paraId="4F39FEDB" w14:textId="77777777" w:rsidR="008E0119" w:rsidRPr="00C81306" w:rsidRDefault="008E0119" w:rsidP="00CD19C1">
            <w:pPr>
              <w:rPr>
                <w:rFonts w:ascii="Times New Roman" w:hAnsi="Times New Roman" w:cs="Times New Roman"/>
                <w:sz w:val="16"/>
                <w:szCs w:val="16"/>
              </w:rPr>
            </w:pPr>
          </w:p>
        </w:tc>
        <w:tc>
          <w:tcPr>
            <w:tcW w:w="1886" w:type="dxa"/>
            <w:shd w:val="clear" w:color="auto" w:fill="FFFFFF"/>
            <w:vAlign w:val="center"/>
          </w:tcPr>
          <w:p w14:paraId="4F39FEDC" w14:textId="77777777" w:rsidR="008E0119" w:rsidRPr="00C81306" w:rsidRDefault="008E0119" w:rsidP="00CD19C1">
            <w:pPr>
              <w:rPr>
                <w:rFonts w:ascii="Times New Roman" w:hAnsi="Times New Roman" w:cs="Times New Roman"/>
                <w:sz w:val="16"/>
                <w:szCs w:val="16"/>
              </w:rPr>
            </w:pPr>
          </w:p>
        </w:tc>
        <w:tc>
          <w:tcPr>
            <w:tcW w:w="1992" w:type="dxa"/>
            <w:shd w:val="clear" w:color="auto" w:fill="FFFFFF"/>
            <w:vAlign w:val="center"/>
          </w:tcPr>
          <w:p w14:paraId="4F39FEDD" w14:textId="77777777" w:rsidR="008E0119" w:rsidRPr="00C81306" w:rsidRDefault="008E0119" w:rsidP="00CD19C1">
            <w:pPr>
              <w:rPr>
                <w:rFonts w:ascii="Times New Roman" w:hAnsi="Times New Roman" w:cs="Times New Roman"/>
                <w:sz w:val="16"/>
                <w:szCs w:val="16"/>
              </w:rPr>
            </w:pPr>
          </w:p>
        </w:tc>
        <w:tc>
          <w:tcPr>
            <w:tcW w:w="898" w:type="dxa"/>
            <w:shd w:val="clear" w:color="auto" w:fill="FFFFFF"/>
            <w:vAlign w:val="center"/>
          </w:tcPr>
          <w:p w14:paraId="4F39FEDE" w14:textId="77777777" w:rsidR="008E0119" w:rsidRPr="00C81306" w:rsidRDefault="008E0119" w:rsidP="00CD19C1">
            <w:pPr>
              <w:rPr>
                <w:rFonts w:ascii="Times New Roman" w:hAnsi="Times New Roman" w:cs="Times New Roman"/>
                <w:sz w:val="16"/>
                <w:szCs w:val="16"/>
              </w:rPr>
            </w:pPr>
          </w:p>
        </w:tc>
      </w:tr>
      <w:tr w:rsidR="008E0119" w:rsidRPr="00C81306" w14:paraId="4F39FEE6" w14:textId="77777777" w:rsidTr="00CD19C1">
        <w:trPr>
          <w:trHeight w:val="20"/>
        </w:trPr>
        <w:tc>
          <w:tcPr>
            <w:tcW w:w="2126" w:type="dxa"/>
            <w:shd w:val="clear" w:color="auto" w:fill="FFFFFF"/>
            <w:vAlign w:val="center"/>
          </w:tcPr>
          <w:p w14:paraId="4F39FEE0"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EE1" w14:textId="77777777" w:rsidR="008E0119" w:rsidRPr="00C81306" w:rsidRDefault="00D8072A" w:rsidP="00CD19C1">
            <w:pPr>
              <w:pStyle w:val="a6"/>
              <w:shd w:val="clear" w:color="auto" w:fill="auto"/>
              <w:ind w:firstLine="0"/>
              <w:rPr>
                <w:sz w:val="16"/>
                <w:szCs w:val="16"/>
              </w:rPr>
            </w:pPr>
            <w:r w:rsidRPr="00C81306">
              <w:rPr>
                <w:sz w:val="16"/>
                <w:szCs w:val="16"/>
                <w:lang w:bidi="ru-RU"/>
              </w:rPr>
              <w:t>400 (21,2)</w:t>
            </w:r>
          </w:p>
        </w:tc>
        <w:tc>
          <w:tcPr>
            <w:tcW w:w="1944" w:type="dxa"/>
            <w:shd w:val="clear" w:color="auto" w:fill="FFFFFF"/>
            <w:vAlign w:val="center"/>
          </w:tcPr>
          <w:p w14:paraId="4F39FEE2" w14:textId="77777777" w:rsidR="008E0119" w:rsidRPr="00C81306" w:rsidRDefault="00D8072A" w:rsidP="00CD19C1">
            <w:pPr>
              <w:pStyle w:val="a6"/>
              <w:shd w:val="clear" w:color="auto" w:fill="auto"/>
              <w:ind w:firstLine="0"/>
              <w:rPr>
                <w:sz w:val="16"/>
                <w:szCs w:val="16"/>
              </w:rPr>
            </w:pPr>
            <w:r w:rsidRPr="00C81306">
              <w:rPr>
                <w:sz w:val="16"/>
                <w:szCs w:val="16"/>
                <w:lang w:bidi="ru-RU"/>
              </w:rPr>
              <w:t>386 (20,5)</w:t>
            </w:r>
          </w:p>
        </w:tc>
        <w:tc>
          <w:tcPr>
            <w:tcW w:w="1886" w:type="dxa"/>
            <w:shd w:val="clear" w:color="auto" w:fill="FFFFFF"/>
            <w:vAlign w:val="center"/>
          </w:tcPr>
          <w:p w14:paraId="4F39FEE3" w14:textId="77777777" w:rsidR="008E0119" w:rsidRPr="00C81306" w:rsidRDefault="00D8072A" w:rsidP="00CD19C1">
            <w:pPr>
              <w:pStyle w:val="a6"/>
              <w:shd w:val="clear" w:color="auto" w:fill="auto"/>
              <w:ind w:firstLine="0"/>
              <w:rPr>
                <w:sz w:val="16"/>
                <w:szCs w:val="16"/>
              </w:rPr>
            </w:pPr>
            <w:r w:rsidRPr="00C81306">
              <w:rPr>
                <w:sz w:val="16"/>
                <w:szCs w:val="16"/>
                <w:lang w:bidi="ru-RU"/>
              </w:rPr>
              <w:t>381 (20,2)</w:t>
            </w:r>
          </w:p>
        </w:tc>
        <w:tc>
          <w:tcPr>
            <w:tcW w:w="1992" w:type="dxa"/>
            <w:shd w:val="clear" w:color="auto" w:fill="FFFFFF"/>
            <w:vAlign w:val="center"/>
          </w:tcPr>
          <w:p w14:paraId="4F39FEE4" w14:textId="77777777" w:rsidR="008E0119" w:rsidRPr="00C81306" w:rsidRDefault="00D8072A" w:rsidP="00CD19C1">
            <w:pPr>
              <w:pStyle w:val="a6"/>
              <w:shd w:val="clear" w:color="auto" w:fill="auto"/>
              <w:ind w:firstLine="0"/>
              <w:rPr>
                <w:sz w:val="16"/>
                <w:szCs w:val="16"/>
              </w:rPr>
            </w:pPr>
            <w:r w:rsidRPr="00C81306">
              <w:rPr>
                <w:sz w:val="16"/>
                <w:szCs w:val="16"/>
                <w:lang w:bidi="ru-RU"/>
              </w:rPr>
              <w:t>401 (21,3)</w:t>
            </w:r>
          </w:p>
        </w:tc>
        <w:tc>
          <w:tcPr>
            <w:tcW w:w="898" w:type="dxa"/>
            <w:shd w:val="clear" w:color="auto" w:fill="FFFFFF"/>
            <w:vAlign w:val="center"/>
          </w:tcPr>
          <w:p w14:paraId="4F39FEE5"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EED" w14:textId="77777777" w:rsidTr="00CD19C1">
        <w:trPr>
          <w:trHeight w:val="20"/>
        </w:trPr>
        <w:tc>
          <w:tcPr>
            <w:tcW w:w="2126" w:type="dxa"/>
            <w:shd w:val="clear" w:color="auto" w:fill="FFFFFF"/>
            <w:vAlign w:val="center"/>
          </w:tcPr>
          <w:p w14:paraId="4F39FEE7" w14:textId="4E04B2F6"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EE8"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E9" w14:textId="77777777" w:rsidR="008E0119" w:rsidRPr="00C81306" w:rsidRDefault="00D8072A" w:rsidP="00CD19C1">
            <w:pPr>
              <w:pStyle w:val="a6"/>
              <w:shd w:val="clear" w:color="auto" w:fill="auto"/>
              <w:ind w:firstLine="0"/>
              <w:rPr>
                <w:sz w:val="16"/>
                <w:szCs w:val="16"/>
              </w:rPr>
            </w:pPr>
            <w:r w:rsidRPr="00C81306">
              <w:rPr>
                <w:sz w:val="16"/>
                <w:szCs w:val="16"/>
                <w:lang w:bidi="ru-RU"/>
              </w:rPr>
              <w:t>1,04 (0,79–1,38)</w:t>
            </w:r>
          </w:p>
        </w:tc>
        <w:tc>
          <w:tcPr>
            <w:tcW w:w="1886" w:type="dxa"/>
            <w:shd w:val="clear" w:color="auto" w:fill="FFFFFF"/>
            <w:vAlign w:val="center"/>
          </w:tcPr>
          <w:p w14:paraId="4F39FEEA" w14:textId="77777777" w:rsidR="008E0119" w:rsidRPr="00C81306" w:rsidRDefault="00D8072A" w:rsidP="00CD19C1">
            <w:pPr>
              <w:pStyle w:val="a6"/>
              <w:shd w:val="clear" w:color="auto" w:fill="auto"/>
              <w:ind w:firstLine="0"/>
              <w:rPr>
                <w:sz w:val="16"/>
                <w:szCs w:val="16"/>
              </w:rPr>
            </w:pPr>
            <w:r w:rsidRPr="00C81306">
              <w:rPr>
                <w:sz w:val="16"/>
                <w:szCs w:val="16"/>
                <w:lang w:bidi="ru-RU"/>
              </w:rPr>
              <w:t>0,89 (0,64‒1,23)</w:t>
            </w:r>
          </w:p>
        </w:tc>
        <w:tc>
          <w:tcPr>
            <w:tcW w:w="1992" w:type="dxa"/>
            <w:shd w:val="clear" w:color="auto" w:fill="FFFFFF"/>
            <w:vAlign w:val="center"/>
          </w:tcPr>
          <w:p w14:paraId="4F39FEEB" w14:textId="77777777" w:rsidR="008E0119" w:rsidRPr="00C81306" w:rsidRDefault="00D8072A" w:rsidP="00CD19C1">
            <w:pPr>
              <w:pStyle w:val="a6"/>
              <w:shd w:val="clear" w:color="auto" w:fill="auto"/>
              <w:ind w:firstLine="0"/>
              <w:rPr>
                <w:sz w:val="16"/>
                <w:szCs w:val="16"/>
              </w:rPr>
            </w:pPr>
            <w:r w:rsidRPr="00C81306">
              <w:rPr>
                <w:sz w:val="16"/>
                <w:szCs w:val="16"/>
                <w:lang w:bidi="ru-RU"/>
              </w:rPr>
              <w:t>0,90 (0,66‒1,22)</w:t>
            </w:r>
          </w:p>
        </w:tc>
        <w:tc>
          <w:tcPr>
            <w:tcW w:w="898" w:type="dxa"/>
            <w:shd w:val="clear" w:color="auto" w:fill="FFFFFF"/>
            <w:vAlign w:val="center"/>
          </w:tcPr>
          <w:p w14:paraId="4F39FEEC" w14:textId="77777777" w:rsidR="008E0119" w:rsidRPr="00C81306" w:rsidRDefault="00D8072A" w:rsidP="00CD19C1">
            <w:pPr>
              <w:pStyle w:val="a6"/>
              <w:shd w:val="clear" w:color="auto" w:fill="auto"/>
              <w:ind w:firstLine="0"/>
              <w:rPr>
                <w:sz w:val="16"/>
                <w:szCs w:val="16"/>
              </w:rPr>
            </w:pPr>
            <w:r w:rsidRPr="00C81306">
              <w:rPr>
                <w:sz w:val="16"/>
                <w:szCs w:val="16"/>
                <w:lang w:bidi="ru-RU"/>
              </w:rPr>
              <w:t>0,337</w:t>
            </w:r>
          </w:p>
        </w:tc>
      </w:tr>
      <w:tr w:rsidR="008E0119" w:rsidRPr="00C81306" w14:paraId="4F39FEF4" w14:textId="77777777" w:rsidTr="00CD19C1">
        <w:trPr>
          <w:trHeight w:val="20"/>
        </w:trPr>
        <w:tc>
          <w:tcPr>
            <w:tcW w:w="2126" w:type="dxa"/>
            <w:shd w:val="clear" w:color="auto" w:fill="FFFFFF"/>
            <w:vAlign w:val="center"/>
          </w:tcPr>
          <w:p w14:paraId="4F39FEEE" w14:textId="255264E1"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EEF"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F0" w14:textId="77777777" w:rsidR="008E0119" w:rsidRPr="00C81306" w:rsidRDefault="00D8072A" w:rsidP="00CD19C1">
            <w:pPr>
              <w:pStyle w:val="a6"/>
              <w:shd w:val="clear" w:color="auto" w:fill="auto"/>
              <w:ind w:firstLine="0"/>
              <w:rPr>
                <w:sz w:val="16"/>
                <w:szCs w:val="16"/>
              </w:rPr>
            </w:pPr>
            <w:r w:rsidRPr="00C81306">
              <w:rPr>
                <w:sz w:val="16"/>
                <w:szCs w:val="16"/>
                <w:lang w:bidi="ru-RU"/>
              </w:rPr>
              <w:t>1,09 (0,79‒1,48)</w:t>
            </w:r>
          </w:p>
        </w:tc>
        <w:tc>
          <w:tcPr>
            <w:tcW w:w="1886" w:type="dxa"/>
            <w:shd w:val="clear" w:color="auto" w:fill="FFFFFF"/>
            <w:vAlign w:val="center"/>
          </w:tcPr>
          <w:p w14:paraId="4F39FEF1" w14:textId="77777777" w:rsidR="008E0119" w:rsidRPr="00C81306" w:rsidRDefault="00D8072A" w:rsidP="00CD19C1">
            <w:pPr>
              <w:pStyle w:val="a6"/>
              <w:shd w:val="clear" w:color="auto" w:fill="auto"/>
              <w:ind w:firstLine="0"/>
              <w:rPr>
                <w:sz w:val="16"/>
                <w:szCs w:val="16"/>
              </w:rPr>
            </w:pPr>
            <w:r w:rsidRPr="00C81306">
              <w:rPr>
                <w:sz w:val="16"/>
                <w:szCs w:val="16"/>
                <w:lang w:bidi="ru-RU"/>
              </w:rPr>
              <w:t>0,88 (0,64‒1,22)</w:t>
            </w:r>
          </w:p>
        </w:tc>
        <w:tc>
          <w:tcPr>
            <w:tcW w:w="1992" w:type="dxa"/>
            <w:shd w:val="clear" w:color="auto" w:fill="FFFFFF"/>
            <w:vAlign w:val="center"/>
          </w:tcPr>
          <w:p w14:paraId="4F39FEF2" w14:textId="77777777" w:rsidR="008E0119" w:rsidRPr="00C81306" w:rsidRDefault="00D8072A" w:rsidP="00CD19C1">
            <w:pPr>
              <w:pStyle w:val="a6"/>
              <w:shd w:val="clear" w:color="auto" w:fill="auto"/>
              <w:ind w:firstLine="0"/>
              <w:rPr>
                <w:sz w:val="16"/>
                <w:szCs w:val="16"/>
              </w:rPr>
            </w:pPr>
            <w:r w:rsidRPr="00C81306">
              <w:rPr>
                <w:sz w:val="16"/>
                <w:szCs w:val="16"/>
                <w:lang w:bidi="ru-RU"/>
              </w:rPr>
              <w:t>0,70 (0,51‒0,96)</w:t>
            </w:r>
          </w:p>
        </w:tc>
        <w:tc>
          <w:tcPr>
            <w:tcW w:w="898" w:type="dxa"/>
            <w:shd w:val="clear" w:color="auto" w:fill="FFFFFF"/>
            <w:vAlign w:val="center"/>
          </w:tcPr>
          <w:p w14:paraId="4F39FEF3" w14:textId="77777777" w:rsidR="008E0119" w:rsidRPr="00C81306" w:rsidRDefault="00D8072A" w:rsidP="00CD19C1">
            <w:pPr>
              <w:pStyle w:val="a6"/>
              <w:shd w:val="clear" w:color="auto" w:fill="auto"/>
              <w:ind w:firstLine="0"/>
              <w:rPr>
                <w:sz w:val="16"/>
                <w:szCs w:val="16"/>
              </w:rPr>
            </w:pPr>
            <w:r w:rsidRPr="00C81306">
              <w:rPr>
                <w:sz w:val="16"/>
                <w:szCs w:val="16"/>
                <w:lang w:bidi="ru-RU"/>
              </w:rPr>
              <w:t>0,011</w:t>
            </w:r>
          </w:p>
        </w:tc>
      </w:tr>
      <w:tr w:rsidR="008E0119" w:rsidRPr="00C81306" w14:paraId="4F39FEFB" w14:textId="77777777" w:rsidTr="00CD19C1">
        <w:trPr>
          <w:trHeight w:val="20"/>
        </w:trPr>
        <w:tc>
          <w:tcPr>
            <w:tcW w:w="2126" w:type="dxa"/>
            <w:shd w:val="clear" w:color="auto" w:fill="FFFFFF"/>
            <w:vAlign w:val="center"/>
          </w:tcPr>
          <w:p w14:paraId="4F39FEF5" w14:textId="64F4D996"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shd w:val="clear" w:color="auto" w:fill="FFFFFF"/>
            <w:vAlign w:val="center"/>
          </w:tcPr>
          <w:p w14:paraId="4F39FEF6"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EF7" w14:textId="77777777" w:rsidR="008E0119" w:rsidRPr="00C81306" w:rsidRDefault="00D8072A" w:rsidP="00CD19C1">
            <w:pPr>
              <w:pStyle w:val="a6"/>
              <w:shd w:val="clear" w:color="auto" w:fill="auto"/>
              <w:ind w:firstLine="0"/>
              <w:rPr>
                <w:sz w:val="16"/>
                <w:szCs w:val="16"/>
              </w:rPr>
            </w:pPr>
            <w:r w:rsidRPr="00C81306">
              <w:rPr>
                <w:sz w:val="16"/>
                <w:szCs w:val="16"/>
                <w:lang w:bidi="ru-RU"/>
              </w:rPr>
              <w:t>1,19 (0,85‒1,68)</w:t>
            </w:r>
          </w:p>
        </w:tc>
        <w:tc>
          <w:tcPr>
            <w:tcW w:w="1886" w:type="dxa"/>
            <w:shd w:val="clear" w:color="auto" w:fill="FFFFFF"/>
            <w:vAlign w:val="center"/>
          </w:tcPr>
          <w:p w14:paraId="4F39FEF8" w14:textId="77777777" w:rsidR="008E0119" w:rsidRPr="00C81306" w:rsidRDefault="00D8072A" w:rsidP="00CD19C1">
            <w:pPr>
              <w:pStyle w:val="a6"/>
              <w:shd w:val="clear" w:color="auto" w:fill="auto"/>
              <w:ind w:firstLine="0"/>
              <w:rPr>
                <w:sz w:val="16"/>
                <w:szCs w:val="16"/>
              </w:rPr>
            </w:pPr>
            <w:r w:rsidRPr="00C81306">
              <w:rPr>
                <w:sz w:val="16"/>
                <w:szCs w:val="16"/>
                <w:lang w:bidi="ru-RU"/>
              </w:rPr>
              <w:t>0,91 (0,62‒1,34)</w:t>
            </w:r>
          </w:p>
        </w:tc>
        <w:tc>
          <w:tcPr>
            <w:tcW w:w="1992" w:type="dxa"/>
            <w:shd w:val="clear" w:color="auto" w:fill="FFFFFF"/>
            <w:vAlign w:val="center"/>
          </w:tcPr>
          <w:p w14:paraId="4F39FEF9" w14:textId="77777777" w:rsidR="008E0119" w:rsidRPr="00C81306" w:rsidRDefault="00D8072A" w:rsidP="00CD19C1">
            <w:pPr>
              <w:pStyle w:val="a6"/>
              <w:shd w:val="clear" w:color="auto" w:fill="auto"/>
              <w:ind w:firstLine="0"/>
              <w:rPr>
                <w:sz w:val="16"/>
                <w:szCs w:val="16"/>
              </w:rPr>
            </w:pPr>
            <w:r w:rsidRPr="00C81306">
              <w:rPr>
                <w:sz w:val="16"/>
                <w:szCs w:val="16"/>
                <w:lang w:bidi="ru-RU"/>
              </w:rPr>
              <w:t>0,67 (0,43‒1,07)</w:t>
            </w:r>
          </w:p>
        </w:tc>
        <w:tc>
          <w:tcPr>
            <w:tcW w:w="898" w:type="dxa"/>
            <w:shd w:val="clear" w:color="auto" w:fill="FFFFFF"/>
            <w:vAlign w:val="center"/>
          </w:tcPr>
          <w:p w14:paraId="4F39FEFA" w14:textId="77777777" w:rsidR="008E0119" w:rsidRPr="00C81306" w:rsidRDefault="00D8072A" w:rsidP="00CD19C1">
            <w:pPr>
              <w:pStyle w:val="a6"/>
              <w:shd w:val="clear" w:color="auto" w:fill="auto"/>
              <w:ind w:firstLine="0"/>
              <w:rPr>
                <w:sz w:val="16"/>
                <w:szCs w:val="16"/>
              </w:rPr>
            </w:pPr>
            <w:r w:rsidRPr="00C81306">
              <w:rPr>
                <w:sz w:val="16"/>
                <w:szCs w:val="16"/>
                <w:lang w:bidi="ru-RU"/>
              </w:rPr>
              <w:t>0,049</w:t>
            </w:r>
          </w:p>
        </w:tc>
      </w:tr>
      <w:tr w:rsidR="008E0119" w:rsidRPr="00C81306" w14:paraId="4F39FF02" w14:textId="77777777" w:rsidTr="00CD19C1">
        <w:trPr>
          <w:trHeight w:val="20"/>
        </w:trPr>
        <w:tc>
          <w:tcPr>
            <w:tcW w:w="2126" w:type="dxa"/>
            <w:shd w:val="clear" w:color="auto" w:fill="FFFFFF"/>
            <w:vAlign w:val="center"/>
          </w:tcPr>
          <w:p w14:paraId="4F39FEFC" w14:textId="204C4522" w:rsidR="008E0119" w:rsidRPr="00C81306" w:rsidRDefault="00D8072A" w:rsidP="00CD19C1">
            <w:pPr>
              <w:pStyle w:val="a6"/>
              <w:shd w:val="clear" w:color="auto" w:fill="auto"/>
              <w:ind w:firstLine="0"/>
              <w:rPr>
                <w:sz w:val="16"/>
                <w:szCs w:val="16"/>
              </w:rPr>
            </w:pPr>
            <w:r w:rsidRPr="00C81306">
              <w:rPr>
                <w:sz w:val="16"/>
                <w:szCs w:val="16"/>
                <w:lang w:bidi="ru-RU"/>
              </w:rPr>
              <w:t>Высокое артериальное давление</w:t>
            </w:r>
            <w:hyperlink w:anchor="bookmark42" w:tooltip="Текущий документ">
              <w:r w:rsidRPr="00C81306">
                <w:rPr>
                  <w:color w:val="000066"/>
                  <w:sz w:val="16"/>
                  <w:szCs w:val="16"/>
                  <w:vertAlign w:val="superscript"/>
                  <w:lang w:bidi="ru-RU"/>
                </w:rPr>
                <w:t>a</w:t>
              </w:r>
            </w:hyperlink>
          </w:p>
        </w:tc>
        <w:tc>
          <w:tcPr>
            <w:tcW w:w="1594" w:type="dxa"/>
            <w:shd w:val="clear" w:color="auto" w:fill="FFFFFF"/>
            <w:vAlign w:val="center"/>
          </w:tcPr>
          <w:p w14:paraId="4F39FEFD" w14:textId="77777777" w:rsidR="008E0119" w:rsidRPr="00C81306" w:rsidRDefault="008E0119" w:rsidP="00CD19C1">
            <w:pPr>
              <w:rPr>
                <w:rFonts w:ascii="Times New Roman" w:hAnsi="Times New Roman" w:cs="Times New Roman"/>
                <w:sz w:val="16"/>
                <w:szCs w:val="16"/>
              </w:rPr>
            </w:pPr>
          </w:p>
        </w:tc>
        <w:tc>
          <w:tcPr>
            <w:tcW w:w="1944" w:type="dxa"/>
            <w:shd w:val="clear" w:color="auto" w:fill="FFFFFF"/>
            <w:vAlign w:val="center"/>
          </w:tcPr>
          <w:p w14:paraId="4F39FEFE" w14:textId="77777777" w:rsidR="008E0119" w:rsidRPr="00C81306" w:rsidRDefault="008E0119" w:rsidP="00CD19C1">
            <w:pPr>
              <w:rPr>
                <w:rFonts w:ascii="Times New Roman" w:hAnsi="Times New Roman" w:cs="Times New Roman"/>
                <w:sz w:val="16"/>
                <w:szCs w:val="16"/>
              </w:rPr>
            </w:pPr>
          </w:p>
        </w:tc>
        <w:tc>
          <w:tcPr>
            <w:tcW w:w="1886" w:type="dxa"/>
            <w:shd w:val="clear" w:color="auto" w:fill="FFFFFF"/>
            <w:vAlign w:val="center"/>
          </w:tcPr>
          <w:p w14:paraId="4F39FEFF" w14:textId="77777777" w:rsidR="008E0119" w:rsidRPr="00C81306" w:rsidRDefault="008E0119" w:rsidP="00CD19C1">
            <w:pPr>
              <w:rPr>
                <w:rFonts w:ascii="Times New Roman" w:hAnsi="Times New Roman" w:cs="Times New Roman"/>
                <w:sz w:val="16"/>
                <w:szCs w:val="16"/>
              </w:rPr>
            </w:pPr>
          </w:p>
        </w:tc>
        <w:tc>
          <w:tcPr>
            <w:tcW w:w="1992" w:type="dxa"/>
            <w:shd w:val="clear" w:color="auto" w:fill="FFFFFF"/>
            <w:vAlign w:val="center"/>
          </w:tcPr>
          <w:p w14:paraId="4F39FF00" w14:textId="77777777" w:rsidR="008E0119" w:rsidRPr="00C81306" w:rsidRDefault="008E0119" w:rsidP="00CD19C1">
            <w:pPr>
              <w:rPr>
                <w:rFonts w:ascii="Times New Roman" w:hAnsi="Times New Roman" w:cs="Times New Roman"/>
                <w:sz w:val="16"/>
                <w:szCs w:val="16"/>
              </w:rPr>
            </w:pPr>
          </w:p>
        </w:tc>
        <w:tc>
          <w:tcPr>
            <w:tcW w:w="898" w:type="dxa"/>
            <w:shd w:val="clear" w:color="auto" w:fill="FFFFFF"/>
            <w:vAlign w:val="center"/>
          </w:tcPr>
          <w:p w14:paraId="4F39FF01" w14:textId="77777777" w:rsidR="008E0119" w:rsidRPr="00C81306" w:rsidRDefault="008E0119" w:rsidP="00CD19C1">
            <w:pPr>
              <w:rPr>
                <w:rFonts w:ascii="Times New Roman" w:hAnsi="Times New Roman" w:cs="Times New Roman"/>
                <w:sz w:val="16"/>
                <w:szCs w:val="16"/>
              </w:rPr>
            </w:pPr>
          </w:p>
        </w:tc>
      </w:tr>
      <w:tr w:rsidR="008E0119" w:rsidRPr="00C81306" w14:paraId="4F39FF09" w14:textId="77777777" w:rsidTr="00CD19C1">
        <w:trPr>
          <w:trHeight w:val="20"/>
        </w:trPr>
        <w:tc>
          <w:tcPr>
            <w:tcW w:w="2126" w:type="dxa"/>
            <w:shd w:val="clear" w:color="auto" w:fill="FFFFFF"/>
            <w:vAlign w:val="center"/>
          </w:tcPr>
          <w:p w14:paraId="4F39FF03"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F04" w14:textId="77777777" w:rsidR="008E0119" w:rsidRPr="00C81306" w:rsidRDefault="00D8072A" w:rsidP="00CD19C1">
            <w:pPr>
              <w:pStyle w:val="a6"/>
              <w:shd w:val="clear" w:color="auto" w:fill="auto"/>
              <w:ind w:firstLine="0"/>
              <w:rPr>
                <w:sz w:val="16"/>
                <w:szCs w:val="16"/>
              </w:rPr>
            </w:pPr>
            <w:r w:rsidRPr="00C81306">
              <w:rPr>
                <w:sz w:val="16"/>
                <w:szCs w:val="16"/>
                <w:lang w:bidi="ru-RU"/>
              </w:rPr>
              <w:t>455 (24,1)</w:t>
            </w:r>
          </w:p>
        </w:tc>
        <w:tc>
          <w:tcPr>
            <w:tcW w:w="1944" w:type="dxa"/>
            <w:shd w:val="clear" w:color="auto" w:fill="FFFFFF"/>
            <w:vAlign w:val="center"/>
          </w:tcPr>
          <w:p w14:paraId="4F39FF05" w14:textId="77777777" w:rsidR="008E0119" w:rsidRPr="00C81306" w:rsidRDefault="00D8072A" w:rsidP="00CD19C1">
            <w:pPr>
              <w:pStyle w:val="a6"/>
              <w:shd w:val="clear" w:color="auto" w:fill="auto"/>
              <w:ind w:firstLine="0"/>
              <w:rPr>
                <w:sz w:val="16"/>
                <w:szCs w:val="16"/>
              </w:rPr>
            </w:pPr>
            <w:r w:rsidRPr="00C81306">
              <w:rPr>
                <w:sz w:val="16"/>
                <w:szCs w:val="16"/>
                <w:lang w:bidi="ru-RU"/>
              </w:rPr>
              <w:t>381 (20,2)</w:t>
            </w:r>
          </w:p>
        </w:tc>
        <w:tc>
          <w:tcPr>
            <w:tcW w:w="1886" w:type="dxa"/>
            <w:shd w:val="clear" w:color="auto" w:fill="FFFFFF"/>
            <w:vAlign w:val="center"/>
          </w:tcPr>
          <w:p w14:paraId="4F39FF06" w14:textId="77777777" w:rsidR="008E0119" w:rsidRPr="00C81306" w:rsidRDefault="00D8072A" w:rsidP="00CD19C1">
            <w:pPr>
              <w:pStyle w:val="a6"/>
              <w:shd w:val="clear" w:color="auto" w:fill="auto"/>
              <w:ind w:firstLine="0"/>
              <w:rPr>
                <w:sz w:val="16"/>
                <w:szCs w:val="16"/>
              </w:rPr>
            </w:pPr>
            <w:r w:rsidRPr="00C81306">
              <w:rPr>
                <w:sz w:val="16"/>
                <w:szCs w:val="16"/>
                <w:lang w:bidi="ru-RU"/>
              </w:rPr>
              <w:t>382 (20,3)</w:t>
            </w:r>
          </w:p>
        </w:tc>
        <w:tc>
          <w:tcPr>
            <w:tcW w:w="1992" w:type="dxa"/>
            <w:shd w:val="clear" w:color="auto" w:fill="FFFFFF"/>
            <w:vAlign w:val="center"/>
          </w:tcPr>
          <w:p w14:paraId="4F39FF07" w14:textId="77777777" w:rsidR="008E0119" w:rsidRPr="00C81306" w:rsidRDefault="00D8072A" w:rsidP="00CD19C1">
            <w:pPr>
              <w:pStyle w:val="a6"/>
              <w:shd w:val="clear" w:color="auto" w:fill="auto"/>
              <w:ind w:firstLine="0"/>
              <w:rPr>
                <w:sz w:val="16"/>
                <w:szCs w:val="16"/>
              </w:rPr>
            </w:pPr>
            <w:r w:rsidRPr="00C81306">
              <w:rPr>
                <w:sz w:val="16"/>
                <w:szCs w:val="16"/>
                <w:lang w:bidi="ru-RU"/>
              </w:rPr>
              <w:t>349 (18,5)</w:t>
            </w:r>
          </w:p>
        </w:tc>
        <w:tc>
          <w:tcPr>
            <w:tcW w:w="898" w:type="dxa"/>
            <w:shd w:val="clear" w:color="auto" w:fill="FFFFFF"/>
            <w:vAlign w:val="center"/>
          </w:tcPr>
          <w:p w14:paraId="4F39FF08"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F10" w14:textId="77777777" w:rsidTr="00CD19C1">
        <w:trPr>
          <w:trHeight w:val="20"/>
        </w:trPr>
        <w:tc>
          <w:tcPr>
            <w:tcW w:w="2126" w:type="dxa"/>
            <w:shd w:val="clear" w:color="auto" w:fill="FFFFFF"/>
            <w:vAlign w:val="center"/>
          </w:tcPr>
          <w:p w14:paraId="4F39FF0A" w14:textId="2904E393"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F0B"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0C" w14:textId="77777777" w:rsidR="008E0119" w:rsidRPr="00C81306" w:rsidRDefault="00D8072A" w:rsidP="00CD19C1">
            <w:pPr>
              <w:pStyle w:val="a6"/>
              <w:shd w:val="clear" w:color="auto" w:fill="auto"/>
              <w:ind w:firstLine="0"/>
              <w:rPr>
                <w:sz w:val="16"/>
                <w:szCs w:val="16"/>
              </w:rPr>
            </w:pPr>
            <w:r w:rsidRPr="00C81306">
              <w:rPr>
                <w:sz w:val="16"/>
                <w:szCs w:val="16"/>
                <w:lang w:bidi="ru-RU"/>
              </w:rPr>
              <w:t>0,89 (0,71‒1,11)</w:t>
            </w:r>
          </w:p>
        </w:tc>
        <w:tc>
          <w:tcPr>
            <w:tcW w:w="1886" w:type="dxa"/>
            <w:shd w:val="clear" w:color="auto" w:fill="FFFFFF"/>
            <w:vAlign w:val="center"/>
          </w:tcPr>
          <w:p w14:paraId="4F39FF0D" w14:textId="77777777" w:rsidR="008E0119" w:rsidRPr="00C81306" w:rsidRDefault="00D8072A" w:rsidP="00CD19C1">
            <w:pPr>
              <w:pStyle w:val="a6"/>
              <w:shd w:val="clear" w:color="auto" w:fill="auto"/>
              <w:ind w:firstLine="0"/>
              <w:rPr>
                <w:sz w:val="16"/>
                <w:szCs w:val="16"/>
              </w:rPr>
            </w:pPr>
            <w:r w:rsidRPr="00C81306">
              <w:rPr>
                <w:sz w:val="16"/>
                <w:szCs w:val="16"/>
                <w:lang w:bidi="ru-RU"/>
              </w:rPr>
              <w:t>0,90 (0,72‒1,13)</w:t>
            </w:r>
          </w:p>
        </w:tc>
        <w:tc>
          <w:tcPr>
            <w:tcW w:w="1992" w:type="dxa"/>
            <w:shd w:val="clear" w:color="auto" w:fill="FFFFFF"/>
            <w:vAlign w:val="center"/>
          </w:tcPr>
          <w:p w14:paraId="4F39FF0E" w14:textId="77777777" w:rsidR="008E0119" w:rsidRPr="00C81306" w:rsidRDefault="00D8072A" w:rsidP="00CD19C1">
            <w:pPr>
              <w:pStyle w:val="a6"/>
              <w:shd w:val="clear" w:color="auto" w:fill="auto"/>
              <w:ind w:firstLine="0"/>
              <w:rPr>
                <w:sz w:val="16"/>
                <w:szCs w:val="16"/>
              </w:rPr>
            </w:pPr>
            <w:r w:rsidRPr="00C81306">
              <w:rPr>
                <w:sz w:val="16"/>
                <w:szCs w:val="16"/>
                <w:lang w:bidi="ru-RU"/>
              </w:rPr>
              <w:t>0,79 (0,63‒0,98)</w:t>
            </w:r>
          </w:p>
        </w:tc>
        <w:tc>
          <w:tcPr>
            <w:tcW w:w="898" w:type="dxa"/>
            <w:shd w:val="clear" w:color="auto" w:fill="FFFFFF"/>
            <w:vAlign w:val="center"/>
          </w:tcPr>
          <w:p w14:paraId="4F39FF0F" w14:textId="77777777" w:rsidR="008E0119" w:rsidRPr="00C81306" w:rsidRDefault="00D8072A" w:rsidP="00CD19C1">
            <w:pPr>
              <w:pStyle w:val="a6"/>
              <w:shd w:val="clear" w:color="auto" w:fill="auto"/>
              <w:ind w:firstLine="0"/>
              <w:rPr>
                <w:sz w:val="16"/>
                <w:szCs w:val="16"/>
              </w:rPr>
            </w:pPr>
            <w:r w:rsidRPr="00C81306">
              <w:rPr>
                <w:sz w:val="16"/>
                <w:szCs w:val="16"/>
                <w:lang w:bidi="ru-RU"/>
              </w:rPr>
              <w:t>0,048</w:t>
            </w:r>
          </w:p>
        </w:tc>
      </w:tr>
      <w:tr w:rsidR="008E0119" w:rsidRPr="00C81306" w14:paraId="4F39FF17" w14:textId="77777777" w:rsidTr="00CD19C1">
        <w:trPr>
          <w:trHeight w:val="20"/>
        </w:trPr>
        <w:tc>
          <w:tcPr>
            <w:tcW w:w="2126" w:type="dxa"/>
            <w:shd w:val="clear" w:color="auto" w:fill="FFFFFF"/>
            <w:vAlign w:val="center"/>
          </w:tcPr>
          <w:p w14:paraId="4F39FF11" w14:textId="3B9B370C"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F12"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13" w14:textId="77777777" w:rsidR="008E0119" w:rsidRPr="00C81306" w:rsidRDefault="00D8072A" w:rsidP="00CD19C1">
            <w:pPr>
              <w:pStyle w:val="a6"/>
              <w:shd w:val="clear" w:color="auto" w:fill="auto"/>
              <w:ind w:firstLine="0"/>
              <w:rPr>
                <w:sz w:val="16"/>
                <w:szCs w:val="16"/>
              </w:rPr>
            </w:pPr>
            <w:r w:rsidRPr="00C81306">
              <w:rPr>
                <w:sz w:val="16"/>
                <w:szCs w:val="16"/>
                <w:lang w:bidi="ru-RU"/>
              </w:rPr>
              <w:t>0,92 (0,71‒1,18)</w:t>
            </w:r>
          </w:p>
        </w:tc>
        <w:tc>
          <w:tcPr>
            <w:tcW w:w="1886" w:type="dxa"/>
            <w:shd w:val="clear" w:color="auto" w:fill="FFFFFF"/>
            <w:vAlign w:val="center"/>
          </w:tcPr>
          <w:p w14:paraId="4F39FF14" w14:textId="77777777" w:rsidR="008E0119" w:rsidRPr="00C81306" w:rsidRDefault="00D8072A" w:rsidP="00CD19C1">
            <w:pPr>
              <w:pStyle w:val="a6"/>
              <w:shd w:val="clear" w:color="auto" w:fill="auto"/>
              <w:ind w:firstLine="0"/>
              <w:rPr>
                <w:sz w:val="16"/>
                <w:szCs w:val="16"/>
              </w:rPr>
            </w:pPr>
            <w:r w:rsidRPr="00C81306">
              <w:rPr>
                <w:sz w:val="16"/>
                <w:szCs w:val="16"/>
                <w:lang w:bidi="ru-RU"/>
              </w:rPr>
              <w:t>0,91 (0,71‒1,18)</w:t>
            </w:r>
          </w:p>
        </w:tc>
        <w:tc>
          <w:tcPr>
            <w:tcW w:w="1992" w:type="dxa"/>
            <w:shd w:val="clear" w:color="auto" w:fill="FFFFFF"/>
            <w:vAlign w:val="center"/>
          </w:tcPr>
          <w:p w14:paraId="4F39FF15" w14:textId="77777777" w:rsidR="008E0119" w:rsidRPr="00C81306" w:rsidRDefault="00D8072A" w:rsidP="00CD19C1">
            <w:pPr>
              <w:pStyle w:val="a6"/>
              <w:shd w:val="clear" w:color="auto" w:fill="auto"/>
              <w:ind w:firstLine="0"/>
              <w:rPr>
                <w:sz w:val="16"/>
                <w:szCs w:val="16"/>
              </w:rPr>
            </w:pPr>
            <w:r w:rsidRPr="00C81306">
              <w:rPr>
                <w:sz w:val="16"/>
                <w:szCs w:val="16"/>
                <w:lang w:bidi="ru-RU"/>
              </w:rPr>
              <w:t>0,84 (0,60‒1,17)</w:t>
            </w:r>
          </w:p>
        </w:tc>
        <w:tc>
          <w:tcPr>
            <w:tcW w:w="898" w:type="dxa"/>
            <w:shd w:val="clear" w:color="auto" w:fill="FFFFFF"/>
            <w:vAlign w:val="center"/>
          </w:tcPr>
          <w:p w14:paraId="4F39FF16" w14:textId="77777777" w:rsidR="008E0119" w:rsidRPr="00C81306" w:rsidRDefault="00D8072A" w:rsidP="00CD19C1">
            <w:pPr>
              <w:pStyle w:val="a6"/>
              <w:shd w:val="clear" w:color="auto" w:fill="auto"/>
              <w:ind w:firstLine="0"/>
              <w:rPr>
                <w:sz w:val="16"/>
                <w:szCs w:val="16"/>
              </w:rPr>
            </w:pPr>
            <w:r w:rsidRPr="00C81306">
              <w:rPr>
                <w:sz w:val="16"/>
                <w:szCs w:val="16"/>
                <w:lang w:bidi="ru-RU"/>
              </w:rPr>
              <w:t>0,325</w:t>
            </w:r>
          </w:p>
        </w:tc>
      </w:tr>
      <w:tr w:rsidR="008E0119" w:rsidRPr="00C81306" w14:paraId="4F39FF1E" w14:textId="77777777" w:rsidTr="00CD19C1">
        <w:trPr>
          <w:trHeight w:val="20"/>
        </w:trPr>
        <w:tc>
          <w:tcPr>
            <w:tcW w:w="2126" w:type="dxa"/>
            <w:shd w:val="clear" w:color="auto" w:fill="FFFFFF"/>
            <w:vAlign w:val="center"/>
          </w:tcPr>
          <w:p w14:paraId="4F39FF18" w14:textId="4C9BAD7C"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shd w:val="clear" w:color="auto" w:fill="FFFFFF"/>
            <w:vAlign w:val="center"/>
          </w:tcPr>
          <w:p w14:paraId="4F39FF19"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1A" w14:textId="77777777" w:rsidR="008E0119" w:rsidRPr="00C81306" w:rsidRDefault="00D8072A" w:rsidP="00CD19C1">
            <w:pPr>
              <w:pStyle w:val="a6"/>
              <w:shd w:val="clear" w:color="auto" w:fill="auto"/>
              <w:ind w:firstLine="0"/>
              <w:rPr>
                <w:sz w:val="16"/>
                <w:szCs w:val="16"/>
              </w:rPr>
            </w:pPr>
            <w:r w:rsidRPr="00C81306">
              <w:rPr>
                <w:sz w:val="16"/>
                <w:szCs w:val="16"/>
                <w:lang w:bidi="ru-RU"/>
              </w:rPr>
              <w:t>0,92 (0,71‒1,18)</w:t>
            </w:r>
          </w:p>
        </w:tc>
        <w:tc>
          <w:tcPr>
            <w:tcW w:w="1886" w:type="dxa"/>
            <w:shd w:val="clear" w:color="auto" w:fill="FFFFFF"/>
            <w:vAlign w:val="center"/>
          </w:tcPr>
          <w:p w14:paraId="4F39FF1B" w14:textId="77777777" w:rsidR="008E0119" w:rsidRPr="00C81306" w:rsidRDefault="00D8072A" w:rsidP="00CD19C1">
            <w:pPr>
              <w:pStyle w:val="a6"/>
              <w:shd w:val="clear" w:color="auto" w:fill="auto"/>
              <w:ind w:firstLine="0"/>
              <w:rPr>
                <w:sz w:val="16"/>
                <w:szCs w:val="16"/>
              </w:rPr>
            </w:pPr>
            <w:r w:rsidRPr="00C81306">
              <w:rPr>
                <w:sz w:val="16"/>
                <w:szCs w:val="16"/>
                <w:lang w:bidi="ru-RU"/>
              </w:rPr>
              <w:t>0,92 (0,70‒1,20)</w:t>
            </w:r>
          </w:p>
        </w:tc>
        <w:tc>
          <w:tcPr>
            <w:tcW w:w="1992" w:type="dxa"/>
            <w:shd w:val="clear" w:color="auto" w:fill="FFFFFF"/>
            <w:vAlign w:val="center"/>
          </w:tcPr>
          <w:p w14:paraId="4F39FF1C" w14:textId="77777777" w:rsidR="008E0119" w:rsidRPr="00C81306" w:rsidRDefault="00D8072A" w:rsidP="00CD19C1">
            <w:pPr>
              <w:pStyle w:val="a6"/>
              <w:shd w:val="clear" w:color="auto" w:fill="auto"/>
              <w:ind w:firstLine="0"/>
              <w:rPr>
                <w:sz w:val="16"/>
                <w:szCs w:val="16"/>
              </w:rPr>
            </w:pPr>
            <w:r w:rsidRPr="00C81306">
              <w:rPr>
                <w:sz w:val="16"/>
                <w:szCs w:val="16"/>
                <w:lang w:bidi="ru-RU"/>
              </w:rPr>
              <w:t>0,85 (0,59–1,22)</w:t>
            </w:r>
          </w:p>
        </w:tc>
        <w:tc>
          <w:tcPr>
            <w:tcW w:w="898" w:type="dxa"/>
            <w:shd w:val="clear" w:color="auto" w:fill="FFFFFF"/>
            <w:vAlign w:val="center"/>
          </w:tcPr>
          <w:p w14:paraId="4F39FF1D" w14:textId="77777777" w:rsidR="008E0119" w:rsidRPr="00C81306" w:rsidRDefault="00D8072A" w:rsidP="00CD19C1">
            <w:pPr>
              <w:pStyle w:val="a6"/>
              <w:shd w:val="clear" w:color="auto" w:fill="auto"/>
              <w:ind w:firstLine="0"/>
              <w:rPr>
                <w:sz w:val="16"/>
                <w:szCs w:val="16"/>
              </w:rPr>
            </w:pPr>
            <w:r w:rsidRPr="00C81306">
              <w:rPr>
                <w:sz w:val="16"/>
                <w:szCs w:val="16"/>
                <w:lang w:bidi="ru-RU"/>
              </w:rPr>
              <w:t>0,396</w:t>
            </w:r>
          </w:p>
        </w:tc>
      </w:tr>
      <w:tr w:rsidR="008E0119" w:rsidRPr="00C81306" w14:paraId="4F39FF25" w14:textId="77777777" w:rsidTr="00CD19C1">
        <w:trPr>
          <w:trHeight w:val="20"/>
        </w:trPr>
        <w:tc>
          <w:tcPr>
            <w:tcW w:w="2126" w:type="dxa"/>
            <w:shd w:val="clear" w:color="auto" w:fill="FFFFFF"/>
            <w:vAlign w:val="center"/>
          </w:tcPr>
          <w:p w14:paraId="4F39FF1F" w14:textId="0B5B5DFE" w:rsidR="008E0119" w:rsidRPr="00C81306" w:rsidRDefault="00D8072A" w:rsidP="00CD19C1">
            <w:pPr>
              <w:pStyle w:val="a6"/>
              <w:shd w:val="clear" w:color="auto" w:fill="auto"/>
              <w:ind w:firstLine="0"/>
              <w:rPr>
                <w:sz w:val="16"/>
                <w:szCs w:val="16"/>
              </w:rPr>
            </w:pPr>
            <w:r w:rsidRPr="00C81306">
              <w:rPr>
                <w:sz w:val="16"/>
                <w:szCs w:val="16"/>
                <w:lang w:bidi="ru-RU"/>
              </w:rPr>
              <w:t>Гипергликемия натощак</w:t>
            </w:r>
            <w:hyperlink w:anchor="bookmark42" w:tooltip="Текущий документ">
              <w:r w:rsidRPr="00C81306">
                <w:rPr>
                  <w:color w:val="000066"/>
                  <w:sz w:val="16"/>
                  <w:szCs w:val="16"/>
                  <w:vertAlign w:val="superscript"/>
                  <w:lang w:bidi="ru-RU"/>
                </w:rPr>
                <w:t>a</w:t>
              </w:r>
            </w:hyperlink>
          </w:p>
        </w:tc>
        <w:tc>
          <w:tcPr>
            <w:tcW w:w="1594" w:type="dxa"/>
            <w:shd w:val="clear" w:color="auto" w:fill="FFFFFF"/>
            <w:vAlign w:val="center"/>
          </w:tcPr>
          <w:p w14:paraId="4F39FF20" w14:textId="77777777" w:rsidR="008E0119" w:rsidRPr="00C81306" w:rsidRDefault="008E0119" w:rsidP="00CD19C1">
            <w:pPr>
              <w:rPr>
                <w:rFonts w:ascii="Times New Roman" w:hAnsi="Times New Roman" w:cs="Times New Roman"/>
                <w:sz w:val="16"/>
                <w:szCs w:val="16"/>
              </w:rPr>
            </w:pPr>
          </w:p>
        </w:tc>
        <w:tc>
          <w:tcPr>
            <w:tcW w:w="1944" w:type="dxa"/>
            <w:shd w:val="clear" w:color="auto" w:fill="FFFFFF"/>
            <w:vAlign w:val="center"/>
          </w:tcPr>
          <w:p w14:paraId="4F39FF21" w14:textId="77777777" w:rsidR="008E0119" w:rsidRPr="00C81306" w:rsidRDefault="008E0119" w:rsidP="00CD19C1">
            <w:pPr>
              <w:rPr>
                <w:rFonts w:ascii="Times New Roman" w:hAnsi="Times New Roman" w:cs="Times New Roman"/>
                <w:sz w:val="16"/>
                <w:szCs w:val="16"/>
              </w:rPr>
            </w:pPr>
          </w:p>
        </w:tc>
        <w:tc>
          <w:tcPr>
            <w:tcW w:w="1886" w:type="dxa"/>
            <w:shd w:val="clear" w:color="auto" w:fill="FFFFFF"/>
            <w:vAlign w:val="center"/>
          </w:tcPr>
          <w:p w14:paraId="4F39FF22" w14:textId="77777777" w:rsidR="008E0119" w:rsidRPr="00C81306" w:rsidRDefault="008E0119" w:rsidP="00CD19C1">
            <w:pPr>
              <w:rPr>
                <w:rFonts w:ascii="Times New Roman" w:hAnsi="Times New Roman" w:cs="Times New Roman"/>
                <w:sz w:val="16"/>
                <w:szCs w:val="16"/>
              </w:rPr>
            </w:pPr>
          </w:p>
        </w:tc>
        <w:tc>
          <w:tcPr>
            <w:tcW w:w="1992" w:type="dxa"/>
            <w:shd w:val="clear" w:color="auto" w:fill="FFFFFF"/>
            <w:vAlign w:val="center"/>
          </w:tcPr>
          <w:p w14:paraId="4F39FF23" w14:textId="77777777" w:rsidR="008E0119" w:rsidRPr="00C81306" w:rsidRDefault="008E0119" w:rsidP="00CD19C1">
            <w:pPr>
              <w:rPr>
                <w:rFonts w:ascii="Times New Roman" w:hAnsi="Times New Roman" w:cs="Times New Roman"/>
                <w:sz w:val="16"/>
                <w:szCs w:val="16"/>
              </w:rPr>
            </w:pPr>
          </w:p>
        </w:tc>
        <w:tc>
          <w:tcPr>
            <w:tcW w:w="898" w:type="dxa"/>
            <w:shd w:val="clear" w:color="auto" w:fill="FFFFFF"/>
            <w:vAlign w:val="center"/>
          </w:tcPr>
          <w:p w14:paraId="4F39FF24" w14:textId="77777777" w:rsidR="008E0119" w:rsidRPr="00C81306" w:rsidRDefault="008E0119" w:rsidP="00CD19C1">
            <w:pPr>
              <w:rPr>
                <w:rFonts w:ascii="Times New Roman" w:hAnsi="Times New Roman" w:cs="Times New Roman"/>
                <w:sz w:val="16"/>
                <w:szCs w:val="16"/>
              </w:rPr>
            </w:pPr>
          </w:p>
        </w:tc>
      </w:tr>
      <w:tr w:rsidR="008E0119" w:rsidRPr="00C81306" w14:paraId="4F39FF2C" w14:textId="77777777" w:rsidTr="00CD19C1">
        <w:trPr>
          <w:trHeight w:val="20"/>
        </w:trPr>
        <w:tc>
          <w:tcPr>
            <w:tcW w:w="2126" w:type="dxa"/>
            <w:shd w:val="clear" w:color="auto" w:fill="FFFFFF"/>
            <w:vAlign w:val="center"/>
          </w:tcPr>
          <w:p w14:paraId="4F39FF26"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F27" w14:textId="77777777" w:rsidR="008E0119" w:rsidRPr="00C81306" w:rsidRDefault="00D8072A" w:rsidP="00CD19C1">
            <w:pPr>
              <w:pStyle w:val="a6"/>
              <w:shd w:val="clear" w:color="auto" w:fill="auto"/>
              <w:ind w:firstLine="0"/>
              <w:rPr>
                <w:sz w:val="16"/>
                <w:szCs w:val="16"/>
              </w:rPr>
            </w:pPr>
            <w:r w:rsidRPr="00C81306">
              <w:rPr>
                <w:sz w:val="16"/>
                <w:szCs w:val="16"/>
                <w:lang w:bidi="ru-RU"/>
              </w:rPr>
              <w:t>374 (19,8)</w:t>
            </w:r>
          </w:p>
        </w:tc>
        <w:tc>
          <w:tcPr>
            <w:tcW w:w="1944" w:type="dxa"/>
            <w:shd w:val="clear" w:color="auto" w:fill="FFFFFF"/>
            <w:vAlign w:val="center"/>
          </w:tcPr>
          <w:p w14:paraId="4F39FF28" w14:textId="77777777" w:rsidR="008E0119" w:rsidRPr="00C81306" w:rsidRDefault="00D8072A" w:rsidP="00CD19C1">
            <w:pPr>
              <w:pStyle w:val="a6"/>
              <w:shd w:val="clear" w:color="auto" w:fill="auto"/>
              <w:ind w:firstLine="0"/>
              <w:rPr>
                <w:sz w:val="16"/>
                <w:szCs w:val="16"/>
              </w:rPr>
            </w:pPr>
            <w:r w:rsidRPr="00C81306">
              <w:rPr>
                <w:sz w:val="16"/>
                <w:szCs w:val="16"/>
                <w:lang w:bidi="ru-RU"/>
              </w:rPr>
              <w:t>334 (17,7)</w:t>
            </w:r>
          </w:p>
        </w:tc>
        <w:tc>
          <w:tcPr>
            <w:tcW w:w="1886" w:type="dxa"/>
            <w:shd w:val="clear" w:color="auto" w:fill="FFFFFF"/>
            <w:vAlign w:val="center"/>
          </w:tcPr>
          <w:p w14:paraId="4F39FF29" w14:textId="77777777" w:rsidR="008E0119" w:rsidRPr="00C81306" w:rsidRDefault="00D8072A" w:rsidP="00CD19C1">
            <w:pPr>
              <w:pStyle w:val="a6"/>
              <w:shd w:val="clear" w:color="auto" w:fill="auto"/>
              <w:ind w:firstLine="0"/>
              <w:rPr>
                <w:sz w:val="16"/>
                <w:szCs w:val="16"/>
              </w:rPr>
            </w:pPr>
            <w:r w:rsidRPr="00C81306">
              <w:rPr>
                <w:sz w:val="16"/>
                <w:szCs w:val="16"/>
                <w:lang w:bidi="ru-RU"/>
              </w:rPr>
              <w:t>315 (16,7)</w:t>
            </w:r>
          </w:p>
        </w:tc>
        <w:tc>
          <w:tcPr>
            <w:tcW w:w="1992" w:type="dxa"/>
            <w:shd w:val="clear" w:color="auto" w:fill="FFFFFF"/>
            <w:vAlign w:val="center"/>
          </w:tcPr>
          <w:p w14:paraId="4F39FF2A" w14:textId="77777777" w:rsidR="008E0119" w:rsidRPr="00C81306" w:rsidRDefault="00D8072A" w:rsidP="00CD19C1">
            <w:pPr>
              <w:pStyle w:val="a6"/>
              <w:shd w:val="clear" w:color="auto" w:fill="auto"/>
              <w:ind w:firstLine="0"/>
              <w:rPr>
                <w:sz w:val="16"/>
                <w:szCs w:val="16"/>
              </w:rPr>
            </w:pPr>
            <w:r w:rsidRPr="00C81306">
              <w:rPr>
                <w:sz w:val="16"/>
                <w:szCs w:val="16"/>
                <w:lang w:bidi="ru-RU"/>
              </w:rPr>
              <w:t>359 (19,1)</w:t>
            </w:r>
          </w:p>
        </w:tc>
        <w:tc>
          <w:tcPr>
            <w:tcW w:w="898" w:type="dxa"/>
            <w:shd w:val="clear" w:color="auto" w:fill="FFFFFF"/>
            <w:vAlign w:val="center"/>
          </w:tcPr>
          <w:p w14:paraId="4F39FF2B"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F33" w14:textId="77777777" w:rsidTr="00CD19C1">
        <w:trPr>
          <w:trHeight w:val="20"/>
        </w:trPr>
        <w:tc>
          <w:tcPr>
            <w:tcW w:w="2126" w:type="dxa"/>
            <w:shd w:val="clear" w:color="auto" w:fill="FFFFFF"/>
            <w:vAlign w:val="center"/>
          </w:tcPr>
          <w:p w14:paraId="4F39FF2D" w14:textId="4B319AFC"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F2E"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2F" w14:textId="77777777" w:rsidR="008E0119" w:rsidRPr="00C81306" w:rsidRDefault="00D8072A" w:rsidP="00CD19C1">
            <w:pPr>
              <w:pStyle w:val="a6"/>
              <w:shd w:val="clear" w:color="auto" w:fill="auto"/>
              <w:ind w:firstLine="0"/>
              <w:rPr>
                <w:sz w:val="16"/>
                <w:szCs w:val="16"/>
              </w:rPr>
            </w:pPr>
            <w:r w:rsidRPr="00C81306">
              <w:rPr>
                <w:sz w:val="16"/>
                <w:szCs w:val="16"/>
                <w:lang w:bidi="ru-RU"/>
              </w:rPr>
              <w:t>0,89 (0,72‒1,09)</w:t>
            </w:r>
          </w:p>
        </w:tc>
        <w:tc>
          <w:tcPr>
            <w:tcW w:w="1886" w:type="dxa"/>
            <w:shd w:val="clear" w:color="auto" w:fill="FFFFFF"/>
            <w:vAlign w:val="center"/>
          </w:tcPr>
          <w:p w14:paraId="4F39FF30" w14:textId="77777777" w:rsidR="008E0119" w:rsidRPr="00C81306" w:rsidRDefault="00D8072A" w:rsidP="00CD19C1">
            <w:pPr>
              <w:pStyle w:val="a6"/>
              <w:shd w:val="clear" w:color="auto" w:fill="auto"/>
              <w:ind w:firstLine="0"/>
              <w:rPr>
                <w:sz w:val="16"/>
                <w:szCs w:val="16"/>
              </w:rPr>
            </w:pPr>
            <w:r w:rsidRPr="00C81306">
              <w:rPr>
                <w:sz w:val="16"/>
                <w:szCs w:val="16"/>
                <w:lang w:bidi="ru-RU"/>
              </w:rPr>
              <w:t>0,81 (0,65‒1,00)</w:t>
            </w:r>
          </w:p>
        </w:tc>
        <w:tc>
          <w:tcPr>
            <w:tcW w:w="1992" w:type="dxa"/>
            <w:shd w:val="clear" w:color="auto" w:fill="FFFFFF"/>
            <w:vAlign w:val="center"/>
          </w:tcPr>
          <w:p w14:paraId="4F39FF31" w14:textId="77777777" w:rsidR="008E0119" w:rsidRPr="00C81306" w:rsidRDefault="00D8072A" w:rsidP="00CD19C1">
            <w:pPr>
              <w:pStyle w:val="a6"/>
              <w:shd w:val="clear" w:color="auto" w:fill="auto"/>
              <w:ind w:firstLine="0"/>
              <w:rPr>
                <w:sz w:val="16"/>
                <w:szCs w:val="16"/>
              </w:rPr>
            </w:pPr>
            <w:r w:rsidRPr="00C81306">
              <w:rPr>
                <w:sz w:val="16"/>
                <w:szCs w:val="16"/>
                <w:lang w:bidi="ru-RU"/>
              </w:rPr>
              <w:t>0,91 (0,74‒1,11)</w:t>
            </w:r>
          </w:p>
        </w:tc>
        <w:tc>
          <w:tcPr>
            <w:tcW w:w="898" w:type="dxa"/>
            <w:shd w:val="clear" w:color="auto" w:fill="FFFFFF"/>
            <w:vAlign w:val="center"/>
          </w:tcPr>
          <w:p w14:paraId="4F39FF32" w14:textId="77777777" w:rsidR="008E0119" w:rsidRPr="00C81306" w:rsidRDefault="00D8072A" w:rsidP="00CD19C1">
            <w:pPr>
              <w:pStyle w:val="a6"/>
              <w:shd w:val="clear" w:color="auto" w:fill="auto"/>
              <w:ind w:firstLine="0"/>
              <w:rPr>
                <w:sz w:val="16"/>
                <w:szCs w:val="16"/>
              </w:rPr>
            </w:pPr>
            <w:r w:rsidRPr="00C81306">
              <w:rPr>
                <w:sz w:val="16"/>
                <w:szCs w:val="16"/>
                <w:lang w:bidi="ru-RU"/>
              </w:rPr>
              <w:t>0,238</w:t>
            </w:r>
          </w:p>
        </w:tc>
      </w:tr>
      <w:tr w:rsidR="008E0119" w:rsidRPr="00C81306" w14:paraId="4F39FF3A" w14:textId="77777777" w:rsidTr="00CD19C1">
        <w:trPr>
          <w:trHeight w:val="20"/>
        </w:trPr>
        <w:tc>
          <w:tcPr>
            <w:tcW w:w="2126" w:type="dxa"/>
            <w:shd w:val="clear" w:color="auto" w:fill="FFFFFF"/>
            <w:vAlign w:val="center"/>
          </w:tcPr>
          <w:p w14:paraId="4F39FF34" w14:textId="49139ADA"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F35"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36" w14:textId="77777777" w:rsidR="008E0119" w:rsidRPr="00C81306" w:rsidRDefault="00D8072A" w:rsidP="00CD19C1">
            <w:pPr>
              <w:pStyle w:val="a6"/>
              <w:shd w:val="clear" w:color="auto" w:fill="auto"/>
              <w:ind w:firstLine="0"/>
              <w:rPr>
                <w:sz w:val="16"/>
                <w:szCs w:val="16"/>
              </w:rPr>
            </w:pPr>
            <w:r w:rsidRPr="00C81306">
              <w:rPr>
                <w:sz w:val="16"/>
                <w:szCs w:val="16"/>
                <w:lang w:bidi="ru-RU"/>
              </w:rPr>
              <w:t>0,85 (0,67–1,08)</w:t>
            </w:r>
          </w:p>
        </w:tc>
        <w:tc>
          <w:tcPr>
            <w:tcW w:w="1886" w:type="dxa"/>
            <w:shd w:val="clear" w:color="auto" w:fill="FFFFFF"/>
            <w:vAlign w:val="center"/>
          </w:tcPr>
          <w:p w14:paraId="4F39FF37" w14:textId="77777777" w:rsidR="008E0119" w:rsidRPr="00C81306" w:rsidRDefault="00D8072A" w:rsidP="00CD19C1">
            <w:pPr>
              <w:pStyle w:val="a6"/>
              <w:shd w:val="clear" w:color="auto" w:fill="auto"/>
              <w:ind w:firstLine="0"/>
              <w:rPr>
                <w:sz w:val="16"/>
                <w:szCs w:val="16"/>
              </w:rPr>
            </w:pPr>
            <w:r w:rsidRPr="00C81306">
              <w:rPr>
                <w:sz w:val="16"/>
                <w:szCs w:val="16"/>
                <w:lang w:bidi="ru-RU"/>
              </w:rPr>
              <w:t>0,76 (0,60‒0,96)</w:t>
            </w:r>
          </w:p>
        </w:tc>
        <w:tc>
          <w:tcPr>
            <w:tcW w:w="1992" w:type="dxa"/>
            <w:shd w:val="clear" w:color="auto" w:fill="FFFFFF"/>
            <w:vAlign w:val="center"/>
          </w:tcPr>
          <w:p w14:paraId="4F39FF38" w14:textId="77777777" w:rsidR="008E0119" w:rsidRPr="00C81306" w:rsidRDefault="00D8072A" w:rsidP="00CD19C1">
            <w:pPr>
              <w:pStyle w:val="a6"/>
              <w:shd w:val="clear" w:color="auto" w:fill="auto"/>
              <w:ind w:firstLine="0"/>
              <w:rPr>
                <w:sz w:val="16"/>
                <w:szCs w:val="16"/>
              </w:rPr>
            </w:pPr>
            <w:r w:rsidRPr="00C81306">
              <w:rPr>
                <w:sz w:val="16"/>
                <w:szCs w:val="16"/>
                <w:lang w:bidi="ru-RU"/>
              </w:rPr>
              <w:t>0,86 (0,68‒1,08)</w:t>
            </w:r>
          </w:p>
        </w:tc>
        <w:tc>
          <w:tcPr>
            <w:tcW w:w="898" w:type="dxa"/>
            <w:shd w:val="clear" w:color="auto" w:fill="FFFFFF"/>
            <w:vAlign w:val="center"/>
          </w:tcPr>
          <w:p w14:paraId="4F39FF39" w14:textId="77777777" w:rsidR="008E0119" w:rsidRPr="00C81306" w:rsidRDefault="00D8072A" w:rsidP="00CD19C1">
            <w:pPr>
              <w:pStyle w:val="a6"/>
              <w:shd w:val="clear" w:color="auto" w:fill="auto"/>
              <w:ind w:firstLine="0"/>
              <w:rPr>
                <w:sz w:val="16"/>
                <w:szCs w:val="16"/>
              </w:rPr>
            </w:pPr>
            <w:r w:rsidRPr="00C81306">
              <w:rPr>
                <w:sz w:val="16"/>
                <w:szCs w:val="16"/>
                <w:lang w:bidi="ru-RU"/>
              </w:rPr>
              <w:t>0,131</w:t>
            </w:r>
          </w:p>
        </w:tc>
      </w:tr>
      <w:tr w:rsidR="008E0119" w:rsidRPr="00C81306" w14:paraId="4F39FF41" w14:textId="77777777" w:rsidTr="00CD19C1">
        <w:trPr>
          <w:trHeight w:val="20"/>
        </w:trPr>
        <w:tc>
          <w:tcPr>
            <w:tcW w:w="2126" w:type="dxa"/>
            <w:shd w:val="clear" w:color="auto" w:fill="FFFFFF"/>
            <w:vAlign w:val="center"/>
          </w:tcPr>
          <w:p w14:paraId="4F39FF3B" w14:textId="102866DA"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shd w:val="clear" w:color="auto" w:fill="FFFFFF"/>
            <w:vAlign w:val="center"/>
          </w:tcPr>
          <w:p w14:paraId="4F39FF3C"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3D" w14:textId="77777777" w:rsidR="008E0119" w:rsidRPr="00C81306" w:rsidRDefault="00D8072A" w:rsidP="00CD19C1">
            <w:pPr>
              <w:pStyle w:val="a6"/>
              <w:shd w:val="clear" w:color="auto" w:fill="auto"/>
              <w:ind w:firstLine="0"/>
              <w:rPr>
                <w:sz w:val="16"/>
                <w:szCs w:val="16"/>
              </w:rPr>
            </w:pPr>
            <w:r w:rsidRPr="00C81306">
              <w:rPr>
                <w:sz w:val="16"/>
                <w:szCs w:val="16"/>
                <w:lang w:bidi="ru-RU"/>
              </w:rPr>
              <w:t>0,82 (0,64‒1,06)</w:t>
            </w:r>
          </w:p>
        </w:tc>
        <w:tc>
          <w:tcPr>
            <w:tcW w:w="1886" w:type="dxa"/>
            <w:shd w:val="clear" w:color="auto" w:fill="FFFFFF"/>
            <w:vAlign w:val="center"/>
          </w:tcPr>
          <w:p w14:paraId="4F39FF3E" w14:textId="77777777" w:rsidR="008E0119" w:rsidRPr="00C81306" w:rsidRDefault="00D8072A" w:rsidP="00CD19C1">
            <w:pPr>
              <w:pStyle w:val="a6"/>
              <w:shd w:val="clear" w:color="auto" w:fill="auto"/>
              <w:ind w:firstLine="0"/>
              <w:rPr>
                <w:sz w:val="16"/>
                <w:szCs w:val="16"/>
              </w:rPr>
            </w:pPr>
            <w:r w:rsidRPr="00C81306">
              <w:rPr>
                <w:sz w:val="16"/>
                <w:szCs w:val="16"/>
                <w:lang w:bidi="ru-RU"/>
              </w:rPr>
              <w:t>0,68 (0,52‒0,89)</w:t>
            </w:r>
          </w:p>
        </w:tc>
        <w:tc>
          <w:tcPr>
            <w:tcW w:w="1992" w:type="dxa"/>
            <w:shd w:val="clear" w:color="auto" w:fill="FFFFFF"/>
            <w:vAlign w:val="center"/>
          </w:tcPr>
          <w:p w14:paraId="4F39FF3F" w14:textId="77777777" w:rsidR="008E0119" w:rsidRPr="00C81306" w:rsidRDefault="00D8072A" w:rsidP="00CD19C1">
            <w:pPr>
              <w:pStyle w:val="a6"/>
              <w:shd w:val="clear" w:color="auto" w:fill="auto"/>
              <w:ind w:firstLine="0"/>
              <w:rPr>
                <w:sz w:val="16"/>
                <w:szCs w:val="16"/>
              </w:rPr>
            </w:pPr>
            <w:r w:rsidRPr="00C81306">
              <w:rPr>
                <w:sz w:val="16"/>
                <w:szCs w:val="16"/>
                <w:lang w:bidi="ru-RU"/>
              </w:rPr>
              <w:t>0,68 (0,50‒0,94)</w:t>
            </w:r>
          </w:p>
        </w:tc>
        <w:tc>
          <w:tcPr>
            <w:tcW w:w="898" w:type="dxa"/>
            <w:shd w:val="clear" w:color="auto" w:fill="FFFFFF"/>
            <w:vAlign w:val="center"/>
          </w:tcPr>
          <w:p w14:paraId="4F39FF40" w14:textId="77777777" w:rsidR="008E0119" w:rsidRPr="00C81306" w:rsidRDefault="00D8072A" w:rsidP="00CD19C1">
            <w:pPr>
              <w:pStyle w:val="a6"/>
              <w:shd w:val="clear" w:color="auto" w:fill="auto"/>
              <w:ind w:firstLine="0"/>
              <w:rPr>
                <w:sz w:val="16"/>
                <w:szCs w:val="16"/>
              </w:rPr>
            </w:pPr>
            <w:r w:rsidRPr="00C81306">
              <w:rPr>
                <w:sz w:val="16"/>
                <w:szCs w:val="16"/>
                <w:lang w:bidi="ru-RU"/>
              </w:rPr>
              <w:t>0,010</w:t>
            </w:r>
          </w:p>
        </w:tc>
      </w:tr>
      <w:tr w:rsidR="008E0119" w:rsidRPr="00C81306" w14:paraId="4F39FF48" w14:textId="77777777" w:rsidTr="00CD19C1">
        <w:trPr>
          <w:trHeight w:val="20"/>
        </w:trPr>
        <w:tc>
          <w:tcPr>
            <w:tcW w:w="2126" w:type="dxa"/>
            <w:shd w:val="clear" w:color="auto" w:fill="FFFFFF"/>
            <w:vAlign w:val="center"/>
          </w:tcPr>
          <w:p w14:paraId="4F39FF42" w14:textId="78FE81DF" w:rsidR="008E0119" w:rsidRPr="00C81306" w:rsidRDefault="00D8072A" w:rsidP="00CD19C1">
            <w:pPr>
              <w:pStyle w:val="a6"/>
              <w:shd w:val="clear" w:color="auto" w:fill="auto"/>
              <w:ind w:firstLine="0"/>
              <w:rPr>
                <w:sz w:val="16"/>
                <w:szCs w:val="16"/>
              </w:rPr>
            </w:pPr>
            <w:r w:rsidRPr="00C81306">
              <w:rPr>
                <w:sz w:val="16"/>
                <w:szCs w:val="16"/>
                <w:lang w:bidi="ru-RU"/>
              </w:rPr>
              <w:t>Гипертриглицеридемия</w:t>
            </w:r>
            <w:hyperlink w:anchor="bookmark42" w:tooltip="Текущий документ">
              <w:r w:rsidRPr="00C81306">
                <w:rPr>
                  <w:color w:val="000066"/>
                  <w:sz w:val="16"/>
                  <w:szCs w:val="16"/>
                  <w:vertAlign w:val="superscript"/>
                  <w:lang w:bidi="ru-RU"/>
                </w:rPr>
                <w:t>a</w:t>
              </w:r>
            </w:hyperlink>
          </w:p>
        </w:tc>
        <w:tc>
          <w:tcPr>
            <w:tcW w:w="1594" w:type="dxa"/>
            <w:shd w:val="clear" w:color="auto" w:fill="FFFFFF"/>
            <w:vAlign w:val="center"/>
          </w:tcPr>
          <w:p w14:paraId="4F39FF43" w14:textId="77777777" w:rsidR="008E0119" w:rsidRPr="00C81306" w:rsidRDefault="008E0119" w:rsidP="00CD19C1">
            <w:pPr>
              <w:rPr>
                <w:rFonts w:ascii="Times New Roman" w:hAnsi="Times New Roman" w:cs="Times New Roman"/>
                <w:sz w:val="16"/>
                <w:szCs w:val="16"/>
              </w:rPr>
            </w:pPr>
          </w:p>
        </w:tc>
        <w:tc>
          <w:tcPr>
            <w:tcW w:w="1944" w:type="dxa"/>
            <w:shd w:val="clear" w:color="auto" w:fill="FFFFFF"/>
            <w:vAlign w:val="center"/>
          </w:tcPr>
          <w:p w14:paraId="4F39FF44" w14:textId="77777777" w:rsidR="008E0119" w:rsidRPr="00C81306" w:rsidRDefault="008E0119" w:rsidP="00CD19C1">
            <w:pPr>
              <w:rPr>
                <w:rFonts w:ascii="Times New Roman" w:hAnsi="Times New Roman" w:cs="Times New Roman"/>
                <w:sz w:val="16"/>
                <w:szCs w:val="16"/>
              </w:rPr>
            </w:pPr>
          </w:p>
        </w:tc>
        <w:tc>
          <w:tcPr>
            <w:tcW w:w="1886" w:type="dxa"/>
            <w:shd w:val="clear" w:color="auto" w:fill="FFFFFF"/>
            <w:vAlign w:val="center"/>
          </w:tcPr>
          <w:p w14:paraId="4F39FF45" w14:textId="77777777" w:rsidR="008E0119" w:rsidRPr="00C81306" w:rsidRDefault="008E0119" w:rsidP="00CD19C1">
            <w:pPr>
              <w:rPr>
                <w:rFonts w:ascii="Times New Roman" w:hAnsi="Times New Roman" w:cs="Times New Roman"/>
                <w:sz w:val="16"/>
                <w:szCs w:val="16"/>
              </w:rPr>
            </w:pPr>
          </w:p>
        </w:tc>
        <w:tc>
          <w:tcPr>
            <w:tcW w:w="1992" w:type="dxa"/>
            <w:shd w:val="clear" w:color="auto" w:fill="FFFFFF"/>
            <w:vAlign w:val="center"/>
          </w:tcPr>
          <w:p w14:paraId="4F39FF46" w14:textId="77777777" w:rsidR="008E0119" w:rsidRPr="00C81306" w:rsidRDefault="008E0119" w:rsidP="00CD19C1">
            <w:pPr>
              <w:rPr>
                <w:rFonts w:ascii="Times New Roman" w:hAnsi="Times New Roman" w:cs="Times New Roman"/>
                <w:sz w:val="16"/>
                <w:szCs w:val="16"/>
              </w:rPr>
            </w:pPr>
          </w:p>
        </w:tc>
        <w:tc>
          <w:tcPr>
            <w:tcW w:w="898" w:type="dxa"/>
            <w:shd w:val="clear" w:color="auto" w:fill="FFFFFF"/>
            <w:vAlign w:val="center"/>
          </w:tcPr>
          <w:p w14:paraId="4F39FF47" w14:textId="77777777" w:rsidR="008E0119" w:rsidRPr="00C81306" w:rsidRDefault="008E0119" w:rsidP="00CD19C1">
            <w:pPr>
              <w:rPr>
                <w:rFonts w:ascii="Times New Roman" w:hAnsi="Times New Roman" w:cs="Times New Roman"/>
                <w:sz w:val="16"/>
                <w:szCs w:val="16"/>
              </w:rPr>
            </w:pPr>
          </w:p>
        </w:tc>
      </w:tr>
      <w:tr w:rsidR="008E0119" w:rsidRPr="00C81306" w14:paraId="4F39FF4F" w14:textId="77777777" w:rsidTr="00CD19C1">
        <w:trPr>
          <w:trHeight w:val="20"/>
        </w:trPr>
        <w:tc>
          <w:tcPr>
            <w:tcW w:w="2126" w:type="dxa"/>
            <w:shd w:val="clear" w:color="auto" w:fill="FFFFFF"/>
            <w:vAlign w:val="center"/>
          </w:tcPr>
          <w:p w14:paraId="4F39FF49"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F4A" w14:textId="77777777" w:rsidR="008E0119" w:rsidRPr="00C81306" w:rsidRDefault="00D8072A" w:rsidP="00CD19C1">
            <w:pPr>
              <w:pStyle w:val="a6"/>
              <w:shd w:val="clear" w:color="auto" w:fill="auto"/>
              <w:ind w:firstLine="0"/>
              <w:rPr>
                <w:sz w:val="16"/>
                <w:szCs w:val="16"/>
              </w:rPr>
            </w:pPr>
            <w:r w:rsidRPr="00C81306">
              <w:rPr>
                <w:sz w:val="16"/>
                <w:szCs w:val="16"/>
                <w:lang w:bidi="ru-RU"/>
              </w:rPr>
              <w:t>490 (26,0)</w:t>
            </w:r>
          </w:p>
        </w:tc>
        <w:tc>
          <w:tcPr>
            <w:tcW w:w="1944" w:type="dxa"/>
            <w:shd w:val="clear" w:color="auto" w:fill="FFFFFF"/>
            <w:vAlign w:val="center"/>
          </w:tcPr>
          <w:p w14:paraId="4F39FF4B" w14:textId="77777777" w:rsidR="008E0119" w:rsidRPr="00C81306" w:rsidRDefault="00D8072A" w:rsidP="00CD19C1">
            <w:pPr>
              <w:pStyle w:val="a6"/>
              <w:shd w:val="clear" w:color="auto" w:fill="auto"/>
              <w:ind w:firstLine="0"/>
              <w:rPr>
                <w:sz w:val="16"/>
                <w:szCs w:val="16"/>
              </w:rPr>
            </w:pPr>
            <w:r w:rsidRPr="00C81306">
              <w:rPr>
                <w:sz w:val="16"/>
                <w:szCs w:val="16"/>
                <w:lang w:bidi="ru-RU"/>
              </w:rPr>
              <w:t>411 (21,8)</w:t>
            </w:r>
          </w:p>
        </w:tc>
        <w:tc>
          <w:tcPr>
            <w:tcW w:w="1886" w:type="dxa"/>
            <w:shd w:val="clear" w:color="auto" w:fill="FFFFFF"/>
            <w:vAlign w:val="center"/>
          </w:tcPr>
          <w:p w14:paraId="4F39FF4C" w14:textId="77777777" w:rsidR="008E0119" w:rsidRPr="00C81306" w:rsidRDefault="00D8072A" w:rsidP="00CD19C1">
            <w:pPr>
              <w:pStyle w:val="a6"/>
              <w:shd w:val="clear" w:color="auto" w:fill="auto"/>
              <w:ind w:firstLine="0"/>
              <w:rPr>
                <w:sz w:val="16"/>
                <w:szCs w:val="16"/>
              </w:rPr>
            </w:pPr>
            <w:r w:rsidRPr="00C81306">
              <w:rPr>
                <w:sz w:val="16"/>
                <w:szCs w:val="16"/>
                <w:lang w:bidi="ru-RU"/>
              </w:rPr>
              <w:t>397 (21,1)</w:t>
            </w:r>
          </w:p>
        </w:tc>
        <w:tc>
          <w:tcPr>
            <w:tcW w:w="1992" w:type="dxa"/>
            <w:shd w:val="clear" w:color="auto" w:fill="FFFFFF"/>
            <w:vAlign w:val="center"/>
          </w:tcPr>
          <w:p w14:paraId="4F39FF4D" w14:textId="77777777" w:rsidR="008E0119" w:rsidRPr="00C81306" w:rsidRDefault="00D8072A" w:rsidP="00CD19C1">
            <w:pPr>
              <w:pStyle w:val="a6"/>
              <w:shd w:val="clear" w:color="auto" w:fill="auto"/>
              <w:ind w:firstLine="0"/>
              <w:rPr>
                <w:sz w:val="16"/>
                <w:szCs w:val="16"/>
              </w:rPr>
            </w:pPr>
            <w:r w:rsidRPr="00C81306">
              <w:rPr>
                <w:sz w:val="16"/>
                <w:szCs w:val="16"/>
                <w:lang w:bidi="ru-RU"/>
              </w:rPr>
              <w:t>413 (21,9)</w:t>
            </w:r>
          </w:p>
        </w:tc>
        <w:tc>
          <w:tcPr>
            <w:tcW w:w="898" w:type="dxa"/>
            <w:shd w:val="clear" w:color="auto" w:fill="FFFFFF"/>
            <w:vAlign w:val="center"/>
          </w:tcPr>
          <w:p w14:paraId="4F39FF4E"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F56" w14:textId="77777777" w:rsidTr="00CD19C1">
        <w:trPr>
          <w:trHeight w:val="20"/>
        </w:trPr>
        <w:tc>
          <w:tcPr>
            <w:tcW w:w="2126" w:type="dxa"/>
            <w:shd w:val="clear" w:color="auto" w:fill="FFFFFF"/>
            <w:vAlign w:val="center"/>
          </w:tcPr>
          <w:p w14:paraId="4F39FF50" w14:textId="56C94F8E"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F51"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52" w14:textId="77777777" w:rsidR="008E0119" w:rsidRPr="00C81306" w:rsidRDefault="00D8072A" w:rsidP="00CD19C1">
            <w:pPr>
              <w:pStyle w:val="a6"/>
              <w:shd w:val="clear" w:color="auto" w:fill="auto"/>
              <w:ind w:firstLine="0"/>
              <w:rPr>
                <w:sz w:val="16"/>
                <w:szCs w:val="16"/>
              </w:rPr>
            </w:pPr>
            <w:r w:rsidRPr="00C81306">
              <w:rPr>
                <w:sz w:val="16"/>
                <w:szCs w:val="16"/>
                <w:lang w:bidi="ru-RU"/>
              </w:rPr>
              <w:t>0,76 (0,63‒0,92)</w:t>
            </w:r>
          </w:p>
        </w:tc>
        <w:tc>
          <w:tcPr>
            <w:tcW w:w="1886" w:type="dxa"/>
            <w:shd w:val="clear" w:color="auto" w:fill="FFFFFF"/>
            <w:vAlign w:val="center"/>
          </w:tcPr>
          <w:p w14:paraId="4F39FF53" w14:textId="77777777" w:rsidR="008E0119" w:rsidRPr="00C81306" w:rsidRDefault="00D8072A" w:rsidP="00CD19C1">
            <w:pPr>
              <w:pStyle w:val="a6"/>
              <w:shd w:val="clear" w:color="auto" w:fill="auto"/>
              <w:ind w:firstLine="0"/>
              <w:rPr>
                <w:sz w:val="16"/>
                <w:szCs w:val="16"/>
              </w:rPr>
            </w:pPr>
            <w:r w:rsidRPr="00C81306">
              <w:rPr>
                <w:sz w:val="16"/>
                <w:szCs w:val="16"/>
                <w:lang w:bidi="ru-RU"/>
              </w:rPr>
              <w:t>0,79 (0,65‒0,95)</w:t>
            </w:r>
          </w:p>
        </w:tc>
        <w:tc>
          <w:tcPr>
            <w:tcW w:w="1992" w:type="dxa"/>
            <w:shd w:val="clear" w:color="auto" w:fill="FFFFFF"/>
            <w:vAlign w:val="center"/>
          </w:tcPr>
          <w:p w14:paraId="4F39FF54" w14:textId="77777777" w:rsidR="008E0119" w:rsidRPr="00C81306" w:rsidRDefault="00D8072A" w:rsidP="00CD19C1">
            <w:pPr>
              <w:pStyle w:val="a6"/>
              <w:shd w:val="clear" w:color="auto" w:fill="auto"/>
              <w:ind w:firstLine="0"/>
              <w:rPr>
                <w:sz w:val="16"/>
                <w:szCs w:val="16"/>
              </w:rPr>
            </w:pPr>
            <w:r w:rsidRPr="00C81306">
              <w:rPr>
                <w:sz w:val="16"/>
                <w:szCs w:val="16"/>
                <w:lang w:bidi="ru-RU"/>
              </w:rPr>
              <w:t>0,83 (0,68‒1,01)</w:t>
            </w:r>
          </w:p>
        </w:tc>
        <w:tc>
          <w:tcPr>
            <w:tcW w:w="898" w:type="dxa"/>
            <w:shd w:val="clear" w:color="auto" w:fill="FFFFFF"/>
            <w:vAlign w:val="center"/>
          </w:tcPr>
          <w:p w14:paraId="4F39FF55" w14:textId="77777777" w:rsidR="008E0119" w:rsidRPr="00C81306" w:rsidRDefault="00D8072A" w:rsidP="00CD19C1">
            <w:pPr>
              <w:pStyle w:val="a6"/>
              <w:shd w:val="clear" w:color="auto" w:fill="auto"/>
              <w:ind w:firstLine="0"/>
              <w:rPr>
                <w:sz w:val="16"/>
                <w:szCs w:val="16"/>
              </w:rPr>
            </w:pPr>
            <w:r w:rsidRPr="00C81306">
              <w:rPr>
                <w:sz w:val="16"/>
                <w:szCs w:val="16"/>
                <w:lang w:bidi="ru-RU"/>
              </w:rPr>
              <w:t>0,098</w:t>
            </w:r>
          </w:p>
        </w:tc>
      </w:tr>
      <w:tr w:rsidR="008E0119" w:rsidRPr="00C81306" w14:paraId="4F39FF5D" w14:textId="77777777" w:rsidTr="00CD19C1">
        <w:trPr>
          <w:trHeight w:val="20"/>
        </w:trPr>
        <w:tc>
          <w:tcPr>
            <w:tcW w:w="2126" w:type="dxa"/>
            <w:shd w:val="clear" w:color="auto" w:fill="FFFFFF"/>
            <w:vAlign w:val="center"/>
          </w:tcPr>
          <w:p w14:paraId="4F39FF57" w14:textId="03FDEB0F"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F58"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59" w14:textId="77777777" w:rsidR="008E0119" w:rsidRPr="00C81306" w:rsidRDefault="00D8072A" w:rsidP="00CD19C1">
            <w:pPr>
              <w:pStyle w:val="a6"/>
              <w:shd w:val="clear" w:color="auto" w:fill="auto"/>
              <w:ind w:firstLine="0"/>
              <w:rPr>
                <w:sz w:val="16"/>
                <w:szCs w:val="16"/>
              </w:rPr>
            </w:pPr>
            <w:r w:rsidRPr="00C81306">
              <w:rPr>
                <w:sz w:val="16"/>
                <w:szCs w:val="16"/>
                <w:lang w:bidi="ru-RU"/>
              </w:rPr>
              <w:t>0,78 (0,63‒0,97)</w:t>
            </w:r>
          </w:p>
        </w:tc>
        <w:tc>
          <w:tcPr>
            <w:tcW w:w="1886" w:type="dxa"/>
            <w:shd w:val="clear" w:color="auto" w:fill="FFFFFF"/>
            <w:vAlign w:val="center"/>
          </w:tcPr>
          <w:p w14:paraId="4F39FF5A" w14:textId="77777777" w:rsidR="008E0119" w:rsidRPr="00C81306" w:rsidRDefault="00D8072A" w:rsidP="00CD19C1">
            <w:pPr>
              <w:pStyle w:val="a6"/>
              <w:shd w:val="clear" w:color="auto" w:fill="auto"/>
              <w:ind w:firstLine="0"/>
              <w:rPr>
                <w:sz w:val="16"/>
                <w:szCs w:val="16"/>
              </w:rPr>
            </w:pPr>
            <w:r w:rsidRPr="00C81306">
              <w:rPr>
                <w:sz w:val="16"/>
                <w:szCs w:val="16"/>
                <w:lang w:bidi="ru-RU"/>
              </w:rPr>
              <w:t>0,84 (0,67‒1,04)</w:t>
            </w:r>
          </w:p>
        </w:tc>
        <w:tc>
          <w:tcPr>
            <w:tcW w:w="1992" w:type="dxa"/>
            <w:shd w:val="clear" w:color="auto" w:fill="FFFFFF"/>
            <w:vAlign w:val="center"/>
          </w:tcPr>
          <w:p w14:paraId="4F39FF5B" w14:textId="77777777" w:rsidR="008E0119" w:rsidRPr="00C81306" w:rsidRDefault="00D8072A" w:rsidP="00CD19C1">
            <w:pPr>
              <w:pStyle w:val="a6"/>
              <w:shd w:val="clear" w:color="auto" w:fill="auto"/>
              <w:ind w:firstLine="0"/>
              <w:rPr>
                <w:sz w:val="16"/>
                <w:szCs w:val="16"/>
              </w:rPr>
            </w:pPr>
            <w:r w:rsidRPr="00C81306">
              <w:rPr>
                <w:sz w:val="16"/>
                <w:szCs w:val="16"/>
                <w:lang w:bidi="ru-RU"/>
              </w:rPr>
              <w:t>0,96 (0,78‒1,17)</w:t>
            </w:r>
          </w:p>
        </w:tc>
        <w:tc>
          <w:tcPr>
            <w:tcW w:w="898" w:type="dxa"/>
            <w:shd w:val="clear" w:color="auto" w:fill="FFFFFF"/>
            <w:vAlign w:val="center"/>
          </w:tcPr>
          <w:p w14:paraId="4F39FF5C" w14:textId="77777777" w:rsidR="008E0119" w:rsidRPr="00C81306" w:rsidRDefault="00D8072A" w:rsidP="00CD19C1">
            <w:pPr>
              <w:pStyle w:val="a6"/>
              <w:shd w:val="clear" w:color="auto" w:fill="auto"/>
              <w:ind w:firstLine="0"/>
              <w:rPr>
                <w:sz w:val="16"/>
                <w:szCs w:val="16"/>
              </w:rPr>
            </w:pPr>
            <w:r w:rsidRPr="00C81306">
              <w:rPr>
                <w:sz w:val="16"/>
                <w:szCs w:val="16"/>
                <w:lang w:bidi="ru-RU"/>
              </w:rPr>
              <w:t>0,861</w:t>
            </w:r>
          </w:p>
        </w:tc>
      </w:tr>
      <w:tr w:rsidR="008E0119" w:rsidRPr="00C81306" w14:paraId="4F39FF64" w14:textId="77777777" w:rsidTr="00CD19C1">
        <w:trPr>
          <w:trHeight w:val="20"/>
        </w:trPr>
        <w:tc>
          <w:tcPr>
            <w:tcW w:w="2126" w:type="dxa"/>
            <w:shd w:val="clear" w:color="auto" w:fill="FFFFFF"/>
            <w:vAlign w:val="center"/>
          </w:tcPr>
          <w:p w14:paraId="4F39FF5E" w14:textId="3F2F4437"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shd w:val="clear" w:color="auto" w:fill="FFFFFF"/>
            <w:vAlign w:val="center"/>
          </w:tcPr>
          <w:p w14:paraId="4F39FF5F"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60" w14:textId="77777777" w:rsidR="008E0119" w:rsidRPr="00C81306" w:rsidRDefault="00D8072A" w:rsidP="00CD19C1">
            <w:pPr>
              <w:pStyle w:val="a6"/>
              <w:shd w:val="clear" w:color="auto" w:fill="auto"/>
              <w:ind w:firstLine="0"/>
              <w:rPr>
                <w:sz w:val="16"/>
                <w:szCs w:val="16"/>
              </w:rPr>
            </w:pPr>
            <w:r w:rsidRPr="00C81306">
              <w:rPr>
                <w:sz w:val="16"/>
                <w:szCs w:val="16"/>
                <w:lang w:bidi="ru-RU"/>
              </w:rPr>
              <w:t>0,75 (0,59–0,94)</w:t>
            </w:r>
          </w:p>
        </w:tc>
        <w:tc>
          <w:tcPr>
            <w:tcW w:w="1886" w:type="dxa"/>
            <w:shd w:val="clear" w:color="auto" w:fill="FFFFFF"/>
            <w:vAlign w:val="center"/>
          </w:tcPr>
          <w:p w14:paraId="4F39FF61" w14:textId="77777777" w:rsidR="008E0119" w:rsidRPr="00C81306" w:rsidRDefault="00D8072A" w:rsidP="00CD19C1">
            <w:pPr>
              <w:pStyle w:val="a6"/>
              <w:shd w:val="clear" w:color="auto" w:fill="auto"/>
              <w:ind w:firstLine="0"/>
              <w:rPr>
                <w:sz w:val="16"/>
                <w:szCs w:val="16"/>
              </w:rPr>
            </w:pPr>
            <w:r w:rsidRPr="00C81306">
              <w:rPr>
                <w:sz w:val="16"/>
                <w:szCs w:val="16"/>
                <w:lang w:bidi="ru-RU"/>
              </w:rPr>
              <w:t>0,79 (0,61‒1,01)</w:t>
            </w:r>
          </w:p>
        </w:tc>
        <w:tc>
          <w:tcPr>
            <w:tcW w:w="1992" w:type="dxa"/>
            <w:shd w:val="clear" w:color="auto" w:fill="FFFFFF"/>
            <w:vAlign w:val="center"/>
          </w:tcPr>
          <w:p w14:paraId="4F39FF62" w14:textId="77777777" w:rsidR="008E0119" w:rsidRPr="00C81306" w:rsidRDefault="00D8072A" w:rsidP="00CD19C1">
            <w:pPr>
              <w:pStyle w:val="a6"/>
              <w:shd w:val="clear" w:color="auto" w:fill="auto"/>
              <w:ind w:firstLine="0"/>
              <w:rPr>
                <w:sz w:val="16"/>
                <w:szCs w:val="16"/>
              </w:rPr>
            </w:pPr>
            <w:r w:rsidRPr="00C81306">
              <w:rPr>
                <w:sz w:val="16"/>
                <w:szCs w:val="16"/>
                <w:lang w:bidi="ru-RU"/>
              </w:rPr>
              <w:t>0,88 (0,66‒1,18)</w:t>
            </w:r>
          </w:p>
        </w:tc>
        <w:tc>
          <w:tcPr>
            <w:tcW w:w="898" w:type="dxa"/>
            <w:shd w:val="clear" w:color="auto" w:fill="FFFFFF"/>
            <w:vAlign w:val="center"/>
          </w:tcPr>
          <w:p w14:paraId="4F39FF63" w14:textId="77777777" w:rsidR="008E0119" w:rsidRPr="00C81306" w:rsidRDefault="00D8072A" w:rsidP="00CD19C1">
            <w:pPr>
              <w:pStyle w:val="a6"/>
              <w:shd w:val="clear" w:color="auto" w:fill="auto"/>
              <w:ind w:firstLine="0"/>
              <w:rPr>
                <w:sz w:val="16"/>
                <w:szCs w:val="16"/>
              </w:rPr>
            </w:pPr>
            <w:r w:rsidRPr="00C81306">
              <w:rPr>
                <w:sz w:val="16"/>
                <w:szCs w:val="16"/>
                <w:lang w:bidi="ru-RU"/>
              </w:rPr>
              <w:t>0,403</w:t>
            </w:r>
          </w:p>
        </w:tc>
      </w:tr>
      <w:tr w:rsidR="008E0119" w:rsidRPr="00C81306" w14:paraId="4F39FF6B" w14:textId="77777777" w:rsidTr="00CD19C1">
        <w:trPr>
          <w:trHeight w:val="20"/>
        </w:trPr>
        <w:tc>
          <w:tcPr>
            <w:tcW w:w="2126" w:type="dxa"/>
            <w:shd w:val="clear" w:color="auto" w:fill="FFFFFF"/>
            <w:vAlign w:val="center"/>
          </w:tcPr>
          <w:p w14:paraId="4F39FF65" w14:textId="1358BA70" w:rsidR="008E0119" w:rsidRPr="00C81306" w:rsidRDefault="00D8072A" w:rsidP="00CD19C1">
            <w:pPr>
              <w:pStyle w:val="a6"/>
              <w:shd w:val="clear" w:color="auto" w:fill="auto"/>
              <w:ind w:firstLine="0"/>
              <w:rPr>
                <w:sz w:val="16"/>
                <w:szCs w:val="16"/>
              </w:rPr>
            </w:pPr>
            <w:r w:rsidRPr="00C81306">
              <w:rPr>
                <w:sz w:val="16"/>
                <w:szCs w:val="16"/>
                <w:lang w:bidi="ru-RU"/>
              </w:rPr>
              <w:t>Низкий уровень ЛПВП</w:t>
            </w:r>
            <w:hyperlink w:anchor="bookmark42" w:tooltip="Текущий документ">
              <w:r w:rsidRPr="00C81306">
                <w:rPr>
                  <w:color w:val="000066"/>
                  <w:sz w:val="16"/>
                  <w:szCs w:val="16"/>
                  <w:vertAlign w:val="superscript"/>
                  <w:lang w:bidi="ru-RU"/>
                </w:rPr>
                <w:t>a</w:t>
              </w:r>
            </w:hyperlink>
          </w:p>
        </w:tc>
        <w:tc>
          <w:tcPr>
            <w:tcW w:w="1594" w:type="dxa"/>
            <w:shd w:val="clear" w:color="auto" w:fill="FFFFFF"/>
            <w:vAlign w:val="center"/>
          </w:tcPr>
          <w:p w14:paraId="4F39FF66" w14:textId="77777777" w:rsidR="008E0119" w:rsidRPr="00C81306" w:rsidRDefault="008E0119" w:rsidP="00CD19C1">
            <w:pPr>
              <w:rPr>
                <w:rFonts w:ascii="Times New Roman" w:hAnsi="Times New Roman" w:cs="Times New Roman"/>
                <w:sz w:val="16"/>
                <w:szCs w:val="16"/>
              </w:rPr>
            </w:pPr>
          </w:p>
        </w:tc>
        <w:tc>
          <w:tcPr>
            <w:tcW w:w="1944" w:type="dxa"/>
            <w:shd w:val="clear" w:color="auto" w:fill="FFFFFF"/>
            <w:vAlign w:val="center"/>
          </w:tcPr>
          <w:p w14:paraId="4F39FF67" w14:textId="77777777" w:rsidR="008E0119" w:rsidRPr="00C81306" w:rsidRDefault="008E0119" w:rsidP="00CD19C1">
            <w:pPr>
              <w:rPr>
                <w:rFonts w:ascii="Times New Roman" w:hAnsi="Times New Roman" w:cs="Times New Roman"/>
                <w:sz w:val="16"/>
                <w:szCs w:val="16"/>
              </w:rPr>
            </w:pPr>
          </w:p>
        </w:tc>
        <w:tc>
          <w:tcPr>
            <w:tcW w:w="1886" w:type="dxa"/>
            <w:shd w:val="clear" w:color="auto" w:fill="FFFFFF"/>
            <w:vAlign w:val="center"/>
          </w:tcPr>
          <w:p w14:paraId="4F39FF68" w14:textId="77777777" w:rsidR="008E0119" w:rsidRPr="00C81306" w:rsidRDefault="008E0119" w:rsidP="00CD19C1">
            <w:pPr>
              <w:rPr>
                <w:rFonts w:ascii="Times New Roman" w:hAnsi="Times New Roman" w:cs="Times New Roman"/>
                <w:sz w:val="16"/>
                <w:szCs w:val="16"/>
              </w:rPr>
            </w:pPr>
          </w:p>
        </w:tc>
        <w:tc>
          <w:tcPr>
            <w:tcW w:w="1992" w:type="dxa"/>
            <w:shd w:val="clear" w:color="auto" w:fill="FFFFFF"/>
            <w:vAlign w:val="center"/>
          </w:tcPr>
          <w:p w14:paraId="4F39FF69" w14:textId="77777777" w:rsidR="008E0119" w:rsidRPr="00C81306" w:rsidRDefault="008E0119" w:rsidP="00CD19C1">
            <w:pPr>
              <w:rPr>
                <w:rFonts w:ascii="Times New Roman" w:hAnsi="Times New Roman" w:cs="Times New Roman"/>
                <w:sz w:val="16"/>
                <w:szCs w:val="16"/>
              </w:rPr>
            </w:pPr>
          </w:p>
        </w:tc>
        <w:tc>
          <w:tcPr>
            <w:tcW w:w="898" w:type="dxa"/>
            <w:shd w:val="clear" w:color="auto" w:fill="FFFFFF"/>
            <w:vAlign w:val="center"/>
          </w:tcPr>
          <w:p w14:paraId="4F39FF6A" w14:textId="77777777" w:rsidR="008E0119" w:rsidRPr="00C81306" w:rsidRDefault="008E0119" w:rsidP="00CD19C1">
            <w:pPr>
              <w:rPr>
                <w:rFonts w:ascii="Times New Roman" w:hAnsi="Times New Roman" w:cs="Times New Roman"/>
                <w:sz w:val="16"/>
                <w:szCs w:val="16"/>
              </w:rPr>
            </w:pPr>
          </w:p>
        </w:tc>
      </w:tr>
      <w:tr w:rsidR="008E0119" w:rsidRPr="00C81306" w14:paraId="4F39FF72" w14:textId="77777777" w:rsidTr="00CD19C1">
        <w:trPr>
          <w:trHeight w:val="20"/>
        </w:trPr>
        <w:tc>
          <w:tcPr>
            <w:tcW w:w="2126" w:type="dxa"/>
            <w:shd w:val="clear" w:color="auto" w:fill="FFFFFF"/>
            <w:vAlign w:val="center"/>
          </w:tcPr>
          <w:p w14:paraId="4F39FF6C" w14:textId="77777777" w:rsidR="008E0119" w:rsidRPr="00C81306" w:rsidRDefault="00D8072A" w:rsidP="00CD19C1">
            <w:pPr>
              <w:pStyle w:val="a6"/>
              <w:shd w:val="clear" w:color="auto" w:fill="auto"/>
              <w:ind w:left="132" w:firstLine="0"/>
              <w:rPr>
                <w:sz w:val="16"/>
                <w:szCs w:val="16"/>
              </w:rPr>
            </w:pPr>
            <w:r w:rsidRPr="00C81306">
              <w:rPr>
                <w:sz w:val="16"/>
                <w:szCs w:val="16"/>
                <w:lang w:bidi="ru-RU"/>
              </w:rPr>
              <w:t>Кол-во явлений (%)</w:t>
            </w:r>
          </w:p>
        </w:tc>
        <w:tc>
          <w:tcPr>
            <w:tcW w:w="1594" w:type="dxa"/>
            <w:shd w:val="clear" w:color="auto" w:fill="FFFFFF"/>
            <w:vAlign w:val="center"/>
          </w:tcPr>
          <w:p w14:paraId="4F39FF6D" w14:textId="77777777" w:rsidR="008E0119" w:rsidRPr="00C81306" w:rsidRDefault="00D8072A" w:rsidP="00CD19C1">
            <w:pPr>
              <w:pStyle w:val="a6"/>
              <w:shd w:val="clear" w:color="auto" w:fill="auto"/>
              <w:ind w:firstLine="0"/>
              <w:rPr>
                <w:sz w:val="16"/>
                <w:szCs w:val="16"/>
              </w:rPr>
            </w:pPr>
            <w:r w:rsidRPr="00C81306">
              <w:rPr>
                <w:sz w:val="16"/>
                <w:szCs w:val="16"/>
                <w:lang w:bidi="ru-RU"/>
              </w:rPr>
              <w:t>812 (43,1)</w:t>
            </w:r>
          </w:p>
        </w:tc>
        <w:tc>
          <w:tcPr>
            <w:tcW w:w="1944" w:type="dxa"/>
            <w:shd w:val="clear" w:color="auto" w:fill="FFFFFF"/>
            <w:vAlign w:val="center"/>
          </w:tcPr>
          <w:p w14:paraId="4F39FF6E" w14:textId="77777777" w:rsidR="008E0119" w:rsidRPr="00C81306" w:rsidRDefault="00D8072A" w:rsidP="00CD19C1">
            <w:pPr>
              <w:pStyle w:val="a6"/>
              <w:shd w:val="clear" w:color="auto" w:fill="auto"/>
              <w:ind w:firstLine="0"/>
              <w:rPr>
                <w:sz w:val="16"/>
                <w:szCs w:val="16"/>
              </w:rPr>
            </w:pPr>
            <w:r w:rsidRPr="00C81306">
              <w:rPr>
                <w:sz w:val="16"/>
                <w:szCs w:val="16"/>
                <w:lang w:bidi="ru-RU"/>
              </w:rPr>
              <w:t>834 (44,2)</w:t>
            </w:r>
          </w:p>
        </w:tc>
        <w:tc>
          <w:tcPr>
            <w:tcW w:w="1886" w:type="dxa"/>
            <w:shd w:val="clear" w:color="auto" w:fill="FFFFFF"/>
            <w:vAlign w:val="center"/>
          </w:tcPr>
          <w:p w14:paraId="4F39FF6F" w14:textId="77777777" w:rsidR="008E0119" w:rsidRPr="00C81306" w:rsidRDefault="00D8072A" w:rsidP="00CD19C1">
            <w:pPr>
              <w:pStyle w:val="a6"/>
              <w:shd w:val="clear" w:color="auto" w:fill="auto"/>
              <w:ind w:firstLine="0"/>
              <w:rPr>
                <w:sz w:val="16"/>
                <w:szCs w:val="16"/>
              </w:rPr>
            </w:pPr>
            <w:r w:rsidRPr="00C81306">
              <w:rPr>
                <w:sz w:val="16"/>
                <w:szCs w:val="16"/>
                <w:lang w:bidi="ru-RU"/>
              </w:rPr>
              <w:t>876 (46,5)</w:t>
            </w:r>
          </w:p>
        </w:tc>
        <w:tc>
          <w:tcPr>
            <w:tcW w:w="1992" w:type="dxa"/>
            <w:shd w:val="clear" w:color="auto" w:fill="FFFFFF"/>
            <w:vAlign w:val="center"/>
          </w:tcPr>
          <w:p w14:paraId="4F39FF70" w14:textId="77777777" w:rsidR="008E0119" w:rsidRPr="00C81306" w:rsidRDefault="00D8072A" w:rsidP="00CD19C1">
            <w:pPr>
              <w:pStyle w:val="a6"/>
              <w:shd w:val="clear" w:color="auto" w:fill="auto"/>
              <w:ind w:firstLine="0"/>
              <w:rPr>
                <w:sz w:val="16"/>
                <w:szCs w:val="16"/>
              </w:rPr>
            </w:pPr>
            <w:r w:rsidRPr="00C81306">
              <w:rPr>
                <w:sz w:val="16"/>
                <w:szCs w:val="16"/>
                <w:lang w:bidi="ru-RU"/>
              </w:rPr>
              <w:t>890 (47,2)</w:t>
            </w:r>
          </w:p>
        </w:tc>
        <w:tc>
          <w:tcPr>
            <w:tcW w:w="898" w:type="dxa"/>
            <w:shd w:val="clear" w:color="auto" w:fill="FFFFFF"/>
            <w:vAlign w:val="center"/>
          </w:tcPr>
          <w:p w14:paraId="4F39FF71" w14:textId="77777777" w:rsidR="008E0119" w:rsidRPr="00C81306" w:rsidRDefault="00D8072A" w:rsidP="00CD19C1">
            <w:pPr>
              <w:pStyle w:val="a6"/>
              <w:shd w:val="clear" w:color="auto" w:fill="auto"/>
              <w:ind w:firstLine="0"/>
              <w:rPr>
                <w:sz w:val="16"/>
                <w:szCs w:val="16"/>
              </w:rPr>
            </w:pPr>
            <w:r w:rsidRPr="00C81306">
              <w:rPr>
                <w:rFonts w:eastAsia="Arial"/>
                <w:sz w:val="16"/>
                <w:szCs w:val="16"/>
                <w:lang w:bidi="ru-RU"/>
              </w:rPr>
              <w:t>—</w:t>
            </w:r>
          </w:p>
        </w:tc>
      </w:tr>
      <w:tr w:rsidR="008E0119" w:rsidRPr="00C81306" w14:paraId="4F39FF79" w14:textId="77777777" w:rsidTr="00CD19C1">
        <w:trPr>
          <w:trHeight w:val="20"/>
        </w:trPr>
        <w:tc>
          <w:tcPr>
            <w:tcW w:w="2126" w:type="dxa"/>
            <w:shd w:val="clear" w:color="auto" w:fill="FFFFFF"/>
            <w:vAlign w:val="center"/>
          </w:tcPr>
          <w:p w14:paraId="4F39FF73" w14:textId="4DF526F7" w:rsidR="008E0119" w:rsidRPr="00C81306" w:rsidRDefault="00D8072A" w:rsidP="00CD19C1">
            <w:pPr>
              <w:pStyle w:val="a6"/>
              <w:shd w:val="clear" w:color="auto" w:fill="auto"/>
              <w:ind w:left="132" w:firstLine="0"/>
              <w:rPr>
                <w:sz w:val="16"/>
                <w:szCs w:val="16"/>
              </w:rPr>
            </w:pPr>
            <w:r w:rsidRPr="00C81306">
              <w:rPr>
                <w:sz w:val="16"/>
                <w:szCs w:val="16"/>
                <w:lang w:bidi="ru-RU"/>
              </w:rPr>
              <w:t>Модель 1</w:t>
            </w:r>
            <w:hyperlink w:anchor="bookmark43" w:tooltip="Текущий документ">
              <w:r w:rsidRPr="00C81306">
                <w:rPr>
                  <w:color w:val="000066"/>
                  <w:sz w:val="16"/>
                  <w:szCs w:val="16"/>
                  <w:vertAlign w:val="superscript"/>
                  <w:lang w:bidi="ru-RU"/>
                </w:rPr>
                <w:t>b</w:t>
              </w:r>
            </w:hyperlink>
          </w:p>
        </w:tc>
        <w:tc>
          <w:tcPr>
            <w:tcW w:w="1594" w:type="dxa"/>
            <w:shd w:val="clear" w:color="auto" w:fill="FFFFFF"/>
            <w:vAlign w:val="center"/>
          </w:tcPr>
          <w:p w14:paraId="4F39FF74"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75" w14:textId="77777777" w:rsidR="008E0119" w:rsidRPr="00C81306" w:rsidRDefault="00D8072A" w:rsidP="00CD19C1">
            <w:pPr>
              <w:pStyle w:val="a6"/>
              <w:shd w:val="clear" w:color="auto" w:fill="auto"/>
              <w:ind w:firstLine="0"/>
              <w:rPr>
                <w:sz w:val="16"/>
                <w:szCs w:val="16"/>
              </w:rPr>
            </w:pPr>
            <w:r w:rsidRPr="00C81306">
              <w:rPr>
                <w:sz w:val="16"/>
                <w:szCs w:val="16"/>
                <w:lang w:bidi="ru-RU"/>
              </w:rPr>
              <w:t>1,14 (0,95‒1,36)</w:t>
            </w:r>
          </w:p>
        </w:tc>
        <w:tc>
          <w:tcPr>
            <w:tcW w:w="1886" w:type="dxa"/>
            <w:shd w:val="clear" w:color="auto" w:fill="FFFFFF"/>
            <w:vAlign w:val="center"/>
          </w:tcPr>
          <w:p w14:paraId="4F39FF76" w14:textId="77777777" w:rsidR="008E0119" w:rsidRPr="00C81306" w:rsidRDefault="00D8072A" w:rsidP="00CD19C1">
            <w:pPr>
              <w:pStyle w:val="a6"/>
              <w:shd w:val="clear" w:color="auto" w:fill="auto"/>
              <w:ind w:firstLine="0"/>
              <w:rPr>
                <w:sz w:val="16"/>
                <w:szCs w:val="16"/>
              </w:rPr>
            </w:pPr>
            <w:r w:rsidRPr="00C81306">
              <w:rPr>
                <w:sz w:val="16"/>
                <w:szCs w:val="16"/>
                <w:lang w:bidi="ru-RU"/>
              </w:rPr>
              <w:t>1,21 (1,02‒1,45)</w:t>
            </w:r>
          </w:p>
        </w:tc>
        <w:tc>
          <w:tcPr>
            <w:tcW w:w="1992" w:type="dxa"/>
            <w:shd w:val="clear" w:color="auto" w:fill="FFFFFF"/>
            <w:vAlign w:val="center"/>
          </w:tcPr>
          <w:p w14:paraId="4F39FF77" w14:textId="77777777" w:rsidR="008E0119" w:rsidRPr="00C81306" w:rsidRDefault="00D8072A" w:rsidP="00CD19C1">
            <w:pPr>
              <w:pStyle w:val="a6"/>
              <w:shd w:val="clear" w:color="auto" w:fill="auto"/>
              <w:ind w:firstLine="0"/>
              <w:rPr>
                <w:sz w:val="16"/>
                <w:szCs w:val="16"/>
              </w:rPr>
            </w:pPr>
            <w:r w:rsidRPr="00C81306">
              <w:rPr>
                <w:sz w:val="16"/>
                <w:szCs w:val="16"/>
                <w:lang w:bidi="ru-RU"/>
              </w:rPr>
              <w:t>1,09 (0,92‒1,30)</w:t>
            </w:r>
          </w:p>
        </w:tc>
        <w:tc>
          <w:tcPr>
            <w:tcW w:w="898" w:type="dxa"/>
            <w:shd w:val="clear" w:color="auto" w:fill="FFFFFF"/>
            <w:vAlign w:val="center"/>
          </w:tcPr>
          <w:p w14:paraId="4F39FF78" w14:textId="77777777" w:rsidR="008E0119" w:rsidRPr="00C81306" w:rsidRDefault="00D8072A" w:rsidP="00CD19C1">
            <w:pPr>
              <w:pStyle w:val="a6"/>
              <w:shd w:val="clear" w:color="auto" w:fill="auto"/>
              <w:ind w:firstLine="0"/>
              <w:rPr>
                <w:sz w:val="16"/>
                <w:szCs w:val="16"/>
              </w:rPr>
            </w:pPr>
            <w:r w:rsidRPr="00C81306">
              <w:rPr>
                <w:sz w:val="16"/>
                <w:szCs w:val="16"/>
                <w:lang w:bidi="ru-RU"/>
              </w:rPr>
              <w:t>0,218</w:t>
            </w:r>
          </w:p>
        </w:tc>
      </w:tr>
      <w:tr w:rsidR="008E0119" w:rsidRPr="00C81306" w14:paraId="4F39FF80" w14:textId="77777777" w:rsidTr="00CD19C1">
        <w:trPr>
          <w:trHeight w:val="20"/>
        </w:trPr>
        <w:tc>
          <w:tcPr>
            <w:tcW w:w="2126" w:type="dxa"/>
            <w:shd w:val="clear" w:color="auto" w:fill="FFFFFF"/>
            <w:vAlign w:val="center"/>
          </w:tcPr>
          <w:p w14:paraId="4F39FF7A" w14:textId="50E4A81F" w:rsidR="008E0119" w:rsidRPr="00C81306" w:rsidRDefault="00D8072A" w:rsidP="00CD19C1">
            <w:pPr>
              <w:pStyle w:val="a6"/>
              <w:shd w:val="clear" w:color="auto" w:fill="auto"/>
              <w:ind w:left="132" w:firstLine="0"/>
              <w:rPr>
                <w:sz w:val="16"/>
                <w:szCs w:val="16"/>
              </w:rPr>
            </w:pPr>
            <w:r w:rsidRPr="00C81306">
              <w:rPr>
                <w:sz w:val="16"/>
                <w:szCs w:val="16"/>
                <w:lang w:bidi="ru-RU"/>
              </w:rPr>
              <w:t>Модель 2</w:t>
            </w:r>
            <w:hyperlink w:anchor="bookmark44" w:tooltip="Текущий документ">
              <w:r w:rsidRPr="00C81306">
                <w:rPr>
                  <w:color w:val="000066"/>
                  <w:sz w:val="16"/>
                  <w:szCs w:val="16"/>
                  <w:vertAlign w:val="superscript"/>
                  <w:lang w:bidi="ru-RU"/>
                </w:rPr>
                <w:t>c</w:t>
              </w:r>
            </w:hyperlink>
          </w:p>
        </w:tc>
        <w:tc>
          <w:tcPr>
            <w:tcW w:w="1594" w:type="dxa"/>
            <w:shd w:val="clear" w:color="auto" w:fill="FFFFFF"/>
            <w:vAlign w:val="center"/>
          </w:tcPr>
          <w:p w14:paraId="4F39FF7B"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shd w:val="clear" w:color="auto" w:fill="FFFFFF"/>
            <w:vAlign w:val="center"/>
          </w:tcPr>
          <w:p w14:paraId="4F39FF7C" w14:textId="77777777" w:rsidR="008E0119" w:rsidRPr="00C81306" w:rsidRDefault="00D8072A" w:rsidP="00CD19C1">
            <w:pPr>
              <w:pStyle w:val="a6"/>
              <w:shd w:val="clear" w:color="auto" w:fill="auto"/>
              <w:ind w:firstLine="0"/>
              <w:rPr>
                <w:sz w:val="16"/>
                <w:szCs w:val="16"/>
              </w:rPr>
            </w:pPr>
            <w:r w:rsidRPr="00C81306">
              <w:rPr>
                <w:sz w:val="16"/>
                <w:szCs w:val="16"/>
                <w:lang w:bidi="ru-RU"/>
              </w:rPr>
              <w:t>1,03 (0,85‒1,24)</w:t>
            </w:r>
          </w:p>
        </w:tc>
        <w:tc>
          <w:tcPr>
            <w:tcW w:w="1886" w:type="dxa"/>
            <w:shd w:val="clear" w:color="auto" w:fill="FFFFFF"/>
            <w:vAlign w:val="center"/>
          </w:tcPr>
          <w:p w14:paraId="4F39FF7D" w14:textId="77777777" w:rsidR="008E0119" w:rsidRPr="00C81306" w:rsidRDefault="00D8072A" w:rsidP="00CD19C1">
            <w:pPr>
              <w:pStyle w:val="a6"/>
              <w:shd w:val="clear" w:color="auto" w:fill="auto"/>
              <w:ind w:firstLine="0"/>
              <w:rPr>
                <w:sz w:val="16"/>
                <w:szCs w:val="16"/>
              </w:rPr>
            </w:pPr>
            <w:r w:rsidRPr="00C81306">
              <w:rPr>
                <w:sz w:val="16"/>
                <w:szCs w:val="16"/>
                <w:lang w:bidi="ru-RU"/>
              </w:rPr>
              <w:t>1,08 (0,89‒1,30)</w:t>
            </w:r>
          </w:p>
        </w:tc>
        <w:tc>
          <w:tcPr>
            <w:tcW w:w="1992" w:type="dxa"/>
            <w:shd w:val="clear" w:color="auto" w:fill="FFFFFF"/>
            <w:vAlign w:val="center"/>
          </w:tcPr>
          <w:p w14:paraId="4F39FF7E" w14:textId="77777777" w:rsidR="008E0119" w:rsidRPr="00C81306" w:rsidRDefault="00D8072A" w:rsidP="00CD19C1">
            <w:pPr>
              <w:pStyle w:val="a6"/>
              <w:shd w:val="clear" w:color="auto" w:fill="auto"/>
              <w:ind w:firstLine="0"/>
              <w:rPr>
                <w:sz w:val="16"/>
                <w:szCs w:val="16"/>
              </w:rPr>
            </w:pPr>
            <w:r w:rsidRPr="00C81306">
              <w:rPr>
                <w:sz w:val="16"/>
                <w:szCs w:val="16"/>
                <w:lang w:bidi="ru-RU"/>
              </w:rPr>
              <w:t>1,04 (0,89–1,25)</w:t>
            </w:r>
          </w:p>
        </w:tc>
        <w:tc>
          <w:tcPr>
            <w:tcW w:w="898" w:type="dxa"/>
            <w:shd w:val="clear" w:color="auto" w:fill="FFFFFF"/>
            <w:vAlign w:val="center"/>
          </w:tcPr>
          <w:p w14:paraId="4F39FF7F" w14:textId="77777777" w:rsidR="008E0119" w:rsidRPr="00C81306" w:rsidRDefault="00D8072A" w:rsidP="00CD19C1">
            <w:pPr>
              <w:pStyle w:val="a6"/>
              <w:shd w:val="clear" w:color="auto" w:fill="auto"/>
              <w:ind w:firstLine="0"/>
              <w:rPr>
                <w:sz w:val="16"/>
                <w:szCs w:val="16"/>
              </w:rPr>
            </w:pPr>
            <w:r w:rsidRPr="00C81306">
              <w:rPr>
                <w:sz w:val="16"/>
                <w:szCs w:val="16"/>
                <w:lang w:bidi="ru-RU"/>
              </w:rPr>
              <w:t>0,579</w:t>
            </w:r>
          </w:p>
        </w:tc>
      </w:tr>
      <w:tr w:rsidR="008E0119" w:rsidRPr="00C81306" w14:paraId="4F39FF87" w14:textId="77777777" w:rsidTr="00CD19C1">
        <w:trPr>
          <w:trHeight w:val="20"/>
        </w:trPr>
        <w:tc>
          <w:tcPr>
            <w:tcW w:w="2126" w:type="dxa"/>
            <w:tcBorders>
              <w:bottom w:val="single" w:sz="4" w:space="0" w:color="auto"/>
            </w:tcBorders>
            <w:shd w:val="clear" w:color="auto" w:fill="FFFFFF"/>
            <w:vAlign w:val="center"/>
          </w:tcPr>
          <w:p w14:paraId="4F39FF81" w14:textId="6F1297A8" w:rsidR="008E0119" w:rsidRPr="00C81306" w:rsidRDefault="00D8072A" w:rsidP="00CD19C1">
            <w:pPr>
              <w:pStyle w:val="a6"/>
              <w:shd w:val="clear" w:color="auto" w:fill="auto"/>
              <w:ind w:left="132" w:firstLine="0"/>
              <w:rPr>
                <w:sz w:val="16"/>
                <w:szCs w:val="16"/>
              </w:rPr>
            </w:pPr>
            <w:r w:rsidRPr="00C81306">
              <w:rPr>
                <w:sz w:val="16"/>
                <w:szCs w:val="16"/>
                <w:lang w:bidi="ru-RU"/>
              </w:rPr>
              <w:t>Модель 3</w:t>
            </w:r>
            <w:hyperlink w:anchor="bookmark45" w:tooltip="Текущий документ">
              <w:r w:rsidRPr="00C81306">
                <w:rPr>
                  <w:color w:val="000066"/>
                  <w:sz w:val="16"/>
                  <w:szCs w:val="16"/>
                  <w:vertAlign w:val="superscript"/>
                  <w:lang w:bidi="ru-RU"/>
                </w:rPr>
                <w:t>d</w:t>
              </w:r>
            </w:hyperlink>
          </w:p>
        </w:tc>
        <w:tc>
          <w:tcPr>
            <w:tcW w:w="1594" w:type="dxa"/>
            <w:tcBorders>
              <w:bottom w:val="single" w:sz="4" w:space="0" w:color="auto"/>
            </w:tcBorders>
            <w:shd w:val="clear" w:color="auto" w:fill="FFFFFF"/>
            <w:vAlign w:val="center"/>
          </w:tcPr>
          <w:p w14:paraId="4F39FF82" w14:textId="77777777" w:rsidR="008E0119" w:rsidRPr="00C81306" w:rsidRDefault="00D8072A" w:rsidP="00CD19C1">
            <w:pPr>
              <w:pStyle w:val="a6"/>
              <w:shd w:val="clear" w:color="auto" w:fill="auto"/>
              <w:ind w:firstLine="0"/>
              <w:rPr>
                <w:sz w:val="16"/>
                <w:szCs w:val="16"/>
              </w:rPr>
            </w:pPr>
            <w:r w:rsidRPr="00C81306">
              <w:rPr>
                <w:sz w:val="16"/>
                <w:szCs w:val="16"/>
                <w:lang w:bidi="ru-RU"/>
              </w:rPr>
              <w:t>1,00</w:t>
            </w:r>
          </w:p>
        </w:tc>
        <w:tc>
          <w:tcPr>
            <w:tcW w:w="1944" w:type="dxa"/>
            <w:tcBorders>
              <w:bottom w:val="single" w:sz="4" w:space="0" w:color="auto"/>
            </w:tcBorders>
            <w:shd w:val="clear" w:color="auto" w:fill="FFFFFF"/>
            <w:vAlign w:val="center"/>
          </w:tcPr>
          <w:p w14:paraId="4F39FF83" w14:textId="77777777" w:rsidR="008E0119" w:rsidRPr="00C81306" w:rsidRDefault="00D8072A" w:rsidP="00CD19C1">
            <w:pPr>
              <w:pStyle w:val="a6"/>
              <w:shd w:val="clear" w:color="auto" w:fill="auto"/>
              <w:ind w:firstLine="0"/>
              <w:rPr>
                <w:sz w:val="16"/>
                <w:szCs w:val="16"/>
              </w:rPr>
            </w:pPr>
            <w:r w:rsidRPr="00C81306">
              <w:rPr>
                <w:sz w:val="16"/>
                <w:szCs w:val="16"/>
                <w:lang w:bidi="ru-RU"/>
              </w:rPr>
              <w:t>1,03 (0,84‒1,26)</w:t>
            </w:r>
          </w:p>
        </w:tc>
        <w:tc>
          <w:tcPr>
            <w:tcW w:w="1886" w:type="dxa"/>
            <w:tcBorders>
              <w:bottom w:val="single" w:sz="4" w:space="0" w:color="auto"/>
            </w:tcBorders>
            <w:shd w:val="clear" w:color="auto" w:fill="FFFFFF"/>
            <w:vAlign w:val="center"/>
          </w:tcPr>
          <w:p w14:paraId="4F39FF84" w14:textId="77777777" w:rsidR="008E0119" w:rsidRPr="00C81306" w:rsidRDefault="00D8072A" w:rsidP="00CD19C1">
            <w:pPr>
              <w:pStyle w:val="a6"/>
              <w:shd w:val="clear" w:color="auto" w:fill="auto"/>
              <w:ind w:firstLine="0"/>
              <w:rPr>
                <w:sz w:val="16"/>
                <w:szCs w:val="16"/>
              </w:rPr>
            </w:pPr>
            <w:r w:rsidRPr="00C81306">
              <w:rPr>
                <w:sz w:val="16"/>
                <w:szCs w:val="16"/>
                <w:lang w:bidi="ru-RU"/>
              </w:rPr>
              <w:t>1,05 (0,85–1,30)</w:t>
            </w:r>
          </w:p>
        </w:tc>
        <w:tc>
          <w:tcPr>
            <w:tcW w:w="1992" w:type="dxa"/>
            <w:tcBorders>
              <w:bottom w:val="single" w:sz="4" w:space="0" w:color="auto"/>
            </w:tcBorders>
            <w:shd w:val="clear" w:color="auto" w:fill="FFFFFF"/>
            <w:vAlign w:val="center"/>
          </w:tcPr>
          <w:p w14:paraId="4F39FF85" w14:textId="77777777" w:rsidR="008E0119" w:rsidRPr="00C81306" w:rsidRDefault="00D8072A" w:rsidP="00CD19C1">
            <w:pPr>
              <w:pStyle w:val="a6"/>
              <w:shd w:val="clear" w:color="auto" w:fill="auto"/>
              <w:ind w:firstLine="0"/>
              <w:rPr>
                <w:sz w:val="16"/>
                <w:szCs w:val="16"/>
              </w:rPr>
            </w:pPr>
            <w:r w:rsidRPr="00C81306">
              <w:rPr>
                <w:sz w:val="16"/>
                <w:szCs w:val="16"/>
                <w:lang w:bidi="ru-RU"/>
              </w:rPr>
              <w:t>0,96 (0,75‒1,24)</w:t>
            </w:r>
          </w:p>
        </w:tc>
        <w:tc>
          <w:tcPr>
            <w:tcW w:w="898" w:type="dxa"/>
            <w:tcBorders>
              <w:bottom w:val="single" w:sz="4" w:space="0" w:color="auto"/>
            </w:tcBorders>
            <w:shd w:val="clear" w:color="auto" w:fill="FFFFFF"/>
            <w:vAlign w:val="center"/>
          </w:tcPr>
          <w:p w14:paraId="4F39FF86" w14:textId="77777777" w:rsidR="008E0119" w:rsidRPr="00C81306" w:rsidRDefault="00D8072A" w:rsidP="00CD19C1">
            <w:pPr>
              <w:pStyle w:val="a6"/>
              <w:shd w:val="clear" w:color="auto" w:fill="auto"/>
              <w:ind w:firstLine="0"/>
              <w:rPr>
                <w:sz w:val="16"/>
                <w:szCs w:val="16"/>
              </w:rPr>
            </w:pPr>
            <w:r w:rsidRPr="00C81306">
              <w:rPr>
                <w:sz w:val="16"/>
                <w:szCs w:val="16"/>
                <w:lang w:bidi="ru-RU"/>
              </w:rPr>
              <w:t>0,886</w:t>
            </w:r>
          </w:p>
        </w:tc>
      </w:tr>
    </w:tbl>
    <w:p w14:paraId="4F39FF88" w14:textId="77777777" w:rsidR="008E0119" w:rsidRPr="00C81306" w:rsidRDefault="00D8072A" w:rsidP="00C81306">
      <w:pPr>
        <w:pStyle w:val="a4"/>
        <w:shd w:val="clear" w:color="auto" w:fill="auto"/>
        <w:spacing w:line="252" w:lineRule="auto"/>
        <w:jc w:val="both"/>
        <w:rPr>
          <w:sz w:val="16"/>
          <w:szCs w:val="16"/>
        </w:rPr>
      </w:pPr>
      <w:bookmarkStart w:id="42" w:name="bookmark42"/>
      <w:r w:rsidRPr="00C81306">
        <w:rPr>
          <w:sz w:val="16"/>
          <w:szCs w:val="16"/>
          <w:lang w:bidi="ru-RU"/>
        </w:rPr>
        <w:t>ЛП</w:t>
      </w:r>
      <w:bookmarkEnd w:id="42"/>
      <w:r w:rsidRPr="00C81306">
        <w:rPr>
          <w:sz w:val="16"/>
          <w:szCs w:val="16"/>
          <w:lang w:bidi="ru-RU"/>
        </w:rPr>
        <w:t>ВП — липопротеины высокой плотности.</w:t>
      </w:r>
    </w:p>
    <w:p w14:paraId="4F39FF89" w14:textId="77777777" w:rsidR="008E0119" w:rsidRPr="00C81306" w:rsidRDefault="00D8072A" w:rsidP="00C81306">
      <w:pPr>
        <w:pStyle w:val="a4"/>
        <w:shd w:val="clear" w:color="auto" w:fill="auto"/>
        <w:spacing w:line="252" w:lineRule="auto"/>
        <w:jc w:val="both"/>
        <w:rPr>
          <w:sz w:val="16"/>
          <w:szCs w:val="16"/>
        </w:rPr>
      </w:pPr>
      <w:r w:rsidRPr="00C81306">
        <w:rPr>
          <w:sz w:val="16"/>
          <w:szCs w:val="16"/>
          <w:vertAlign w:val="superscript"/>
          <w:lang w:bidi="ru-RU"/>
        </w:rPr>
        <w:t>a</w:t>
      </w:r>
      <w:r w:rsidRPr="00C81306">
        <w:rPr>
          <w:sz w:val="16"/>
          <w:szCs w:val="16"/>
          <w:lang w:bidi="ru-RU"/>
        </w:rPr>
        <w:t xml:space="preserve"> Метаболический синдром диагностировали при наличии ≥ 3 следующих признаков: 1) абдоминальное ожирение (талия ≥ 90 см у мужчин, ≥ 85 у женщин); 2) гипертриглицеридемия (≥ 150 мг/</w:t>
      </w:r>
      <w:bookmarkStart w:id="43" w:name="bookmark43"/>
      <w:r w:rsidRPr="00C81306">
        <w:rPr>
          <w:sz w:val="16"/>
          <w:szCs w:val="16"/>
          <w:lang w:bidi="ru-RU"/>
        </w:rPr>
        <w:t>д</w:t>
      </w:r>
      <w:bookmarkEnd w:id="43"/>
      <w:r w:rsidRPr="00C81306">
        <w:rPr>
          <w:sz w:val="16"/>
          <w:szCs w:val="16"/>
          <w:lang w:bidi="ru-RU"/>
        </w:rPr>
        <w:t>л); 3) низкий уровень ЛПВП (&lt; 40 мг/дл у мужчин, &lt; 50 мг/дл у женщин); 4)повышенное артериальное давление (≥ 130/85 мм рт.ст.); 5) гипергликемия натощак (≥ 100 мг/дл).</w:t>
      </w:r>
    </w:p>
    <w:p w14:paraId="4F39FF8A" w14:textId="77777777" w:rsidR="008E0119" w:rsidRPr="00C81306" w:rsidRDefault="00D8072A" w:rsidP="00C81306">
      <w:pPr>
        <w:pStyle w:val="a4"/>
        <w:shd w:val="clear" w:color="auto" w:fill="auto"/>
        <w:spacing w:line="252" w:lineRule="auto"/>
        <w:jc w:val="both"/>
        <w:rPr>
          <w:sz w:val="16"/>
          <w:szCs w:val="16"/>
        </w:rPr>
      </w:pPr>
      <w:bookmarkStart w:id="44" w:name="bookmark44"/>
      <w:r w:rsidRPr="00C81306">
        <w:rPr>
          <w:sz w:val="16"/>
          <w:szCs w:val="16"/>
          <w:vertAlign w:val="superscript"/>
          <w:lang w:bidi="ru-RU"/>
        </w:rPr>
        <w:t>b</w:t>
      </w:r>
      <w:r w:rsidRPr="00C81306">
        <w:rPr>
          <w:sz w:val="16"/>
          <w:szCs w:val="16"/>
          <w:lang w:bidi="ru-RU"/>
        </w:rPr>
        <w:t xml:space="preserve"> Модель 1: Коррекция с учетом возраста (20–29, 30–39, 40–49, 50–59, 60–69, ≥ 70 лет), пола, ИМТ (непрерывные переменные).</w:t>
      </w:r>
      <w:bookmarkEnd w:id="44"/>
    </w:p>
    <w:p w14:paraId="4F39FF8B" w14:textId="77777777" w:rsidR="00CD19C1" w:rsidRPr="00C81306" w:rsidRDefault="00D8072A" w:rsidP="00C81306">
      <w:pPr>
        <w:pStyle w:val="a4"/>
        <w:shd w:val="clear" w:color="auto" w:fill="auto"/>
        <w:spacing w:line="252" w:lineRule="auto"/>
        <w:jc w:val="both"/>
        <w:rPr>
          <w:sz w:val="16"/>
          <w:szCs w:val="16"/>
        </w:rPr>
      </w:pPr>
      <w:r w:rsidRPr="00C81306">
        <w:rPr>
          <w:sz w:val="16"/>
          <w:szCs w:val="16"/>
          <w:vertAlign w:val="superscript"/>
          <w:lang w:bidi="ru-RU"/>
        </w:rPr>
        <w:t>c</w:t>
      </w:r>
      <w:r w:rsidRPr="00C81306">
        <w:rPr>
          <w:sz w:val="16"/>
          <w:szCs w:val="16"/>
          <w:lang w:bidi="ru-RU"/>
        </w:rPr>
        <w:t xml:space="preserve"> Модель 2: Коррекция с учетом уровня образования (начальная школа или меньше; средняя или общеобразовательная школа; вуз и выше), уровня дохода (квартили приведенного к эквиваленту семейного дохода), уровня физической активности </w:t>
      </w:r>
      <w:bookmarkStart w:id="45" w:name="bookmark45"/>
      <w:r w:rsidRPr="00C81306">
        <w:rPr>
          <w:sz w:val="16"/>
          <w:szCs w:val="16"/>
          <w:lang w:bidi="ru-RU"/>
        </w:rPr>
        <w:t>(</w:t>
      </w:r>
      <w:bookmarkEnd w:id="45"/>
      <w:r w:rsidRPr="00C81306">
        <w:rPr>
          <w:sz w:val="16"/>
          <w:szCs w:val="16"/>
          <w:lang w:bidi="ru-RU"/>
        </w:rPr>
        <w:t>низкий, средний, высокий), статуса курения (никогда не курили, курили раньше, курят сейчас) и употребления алкоголя (г/сут) дополнительно к модели 1.</w:t>
      </w:r>
    </w:p>
    <w:p w14:paraId="4F39FF8C" w14:textId="77777777" w:rsidR="00CD19C1" w:rsidRPr="00C81306" w:rsidRDefault="00D8072A" w:rsidP="00C81306">
      <w:pPr>
        <w:pStyle w:val="a4"/>
        <w:shd w:val="clear" w:color="auto" w:fill="auto"/>
        <w:spacing w:line="252" w:lineRule="auto"/>
        <w:jc w:val="both"/>
        <w:rPr>
          <w:sz w:val="16"/>
          <w:szCs w:val="16"/>
        </w:rPr>
      </w:pPr>
      <w:r w:rsidRPr="00C81306">
        <w:rPr>
          <w:sz w:val="16"/>
          <w:szCs w:val="16"/>
          <w:vertAlign w:val="superscript"/>
          <w:lang w:bidi="ru-RU"/>
        </w:rPr>
        <w:t>d</w:t>
      </w:r>
      <w:r w:rsidRPr="00C81306">
        <w:rPr>
          <w:sz w:val="16"/>
          <w:szCs w:val="16"/>
          <w:lang w:bidi="ru-RU"/>
        </w:rPr>
        <w:t xml:space="preserve"> Модель 3: Коррекция с учетом общей калорийности (ккал/сут), потребления углеводов (% калорий), общих жиров (% калорий), пищевых волокон (г/1000 ккал), витамина С (мг/1000 ккал) и натрия (мг/1000 ккал) в виде непрерывных переменных дополнительно к модели 2.</w:t>
      </w:r>
    </w:p>
    <w:p w14:paraId="4F39FF8D" w14:textId="77777777" w:rsidR="00CD19C1" w:rsidRPr="00C81306" w:rsidRDefault="00CD19C1">
      <w:pPr>
        <w:pStyle w:val="1"/>
        <w:shd w:val="clear" w:color="auto" w:fill="auto"/>
        <w:ind w:firstLine="0"/>
        <w:rPr>
          <w:sz w:val="16"/>
          <w:szCs w:val="16"/>
        </w:rPr>
      </w:pPr>
    </w:p>
    <w:p w14:paraId="4F39FF8E" w14:textId="77777777" w:rsidR="008E0119" w:rsidRPr="00C81306" w:rsidRDefault="00D8072A" w:rsidP="00CD19C1">
      <w:pPr>
        <w:pStyle w:val="1"/>
        <w:shd w:val="clear" w:color="auto" w:fill="auto"/>
        <w:ind w:firstLine="0"/>
        <w:jc w:val="both"/>
        <w:rPr>
          <w:sz w:val="20"/>
          <w:szCs w:val="20"/>
        </w:rPr>
      </w:pPr>
      <w:r w:rsidRPr="00C81306">
        <w:rPr>
          <w:sz w:val="20"/>
          <w:szCs w:val="20"/>
          <w:lang w:bidi="ru-RU"/>
        </w:rPr>
        <w:t xml:space="preserve">ожирением, высоким артериальным давлением и гипергликемией натощак. У участников, потреблявших больше калия, отношение шансов развития абдоминального ожирения после коррекции с учетом различных факторов было ниже. Эта тенденция была менее выраженной, но все еще сохраняла значимость в модели 3. Обратная зависимость между повышенным артериальным давлением и потреблением калия ослабевала после поправки на различные факторы образа жизни и питания. Среди этих факторов уровень потребления пищевых </w:t>
      </w:r>
      <w:r w:rsidRPr="00C81306">
        <w:rPr>
          <w:rFonts w:eastAsia="Arial"/>
          <w:sz w:val="20"/>
          <w:szCs w:val="20"/>
          <w:lang w:bidi="ru-RU"/>
        </w:rPr>
        <w:t>во</w:t>
      </w:r>
      <w:r w:rsidRPr="00C81306">
        <w:rPr>
          <w:sz w:val="20"/>
          <w:szCs w:val="20"/>
          <w:lang w:bidi="ru-RU"/>
        </w:rPr>
        <w:t>локон оказывал наибольшее влияние на данную зависимость. Обратная зависимость между гипергликемией натощак и уровнем потребления калия была знач</w:t>
      </w:r>
      <w:r w:rsidRPr="00C81306">
        <w:rPr>
          <w:rFonts w:eastAsia="Arial"/>
          <w:sz w:val="20"/>
          <w:szCs w:val="20"/>
          <w:lang w:bidi="ru-RU"/>
        </w:rPr>
        <w:t>им</w:t>
      </w:r>
      <w:r w:rsidRPr="00C81306">
        <w:rPr>
          <w:sz w:val="20"/>
          <w:szCs w:val="20"/>
          <w:lang w:bidi="ru-RU"/>
        </w:rPr>
        <w:t>ой после коррекции с учетом всех факторов образа жизни и питания.</w:t>
      </w:r>
    </w:p>
    <w:p w14:paraId="4F39FF8F"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Обратная тенденция в отношении шансов метаболического синдрома оставалась знач</w:t>
      </w:r>
      <w:r w:rsidRPr="00C81306">
        <w:rPr>
          <w:rFonts w:eastAsia="Arial"/>
          <w:sz w:val="20"/>
          <w:szCs w:val="20"/>
          <w:lang w:bidi="ru-RU"/>
        </w:rPr>
        <w:t>им</w:t>
      </w:r>
      <w:r w:rsidRPr="00C81306">
        <w:rPr>
          <w:sz w:val="20"/>
          <w:szCs w:val="20"/>
          <w:lang w:bidi="ru-RU"/>
        </w:rPr>
        <w:t>ой (p-значение для тенденции = 0,006) после дополнительной поправки на соотношение Na:K. Соотношение Na:K не оказывало знач</w:t>
      </w:r>
      <w:r w:rsidRPr="00C81306">
        <w:rPr>
          <w:rFonts w:eastAsia="Arial"/>
          <w:sz w:val="20"/>
          <w:szCs w:val="20"/>
          <w:lang w:bidi="ru-RU"/>
        </w:rPr>
        <w:t>им</w:t>
      </w:r>
      <w:r w:rsidRPr="00C81306">
        <w:rPr>
          <w:sz w:val="20"/>
          <w:szCs w:val="20"/>
          <w:lang w:bidi="ru-RU"/>
        </w:rPr>
        <w:t>ого влияния на отношения шансов развития метаболического синдрома (p = 0,647) и его компонентов (p </w:t>
      </w:r>
      <w:r w:rsidRPr="00C81306">
        <w:rPr>
          <w:rFonts w:eastAsia="Arial"/>
          <w:sz w:val="20"/>
          <w:szCs w:val="20"/>
          <w:lang w:bidi="ru-RU"/>
        </w:rPr>
        <w:t xml:space="preserve">&gt; </w:t>
      </w:r>
      <w:r w:rsidRPr="00C81306">
        <w:rPr>
          <w:sz w:val="20"/>
          <w:szCs w:val="20"/>
          <w:lang w:bidi="ru-RU"/>
        </w:rPr>
        <w:t>0,1) (данные не приведены).</w:t>
      </w:r>
    </w:p>
    <w:p w14:paraId="4F39FF90"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Анализ с уче</w:t>
      </w:r>
      <w:r w:rsidRPr="00C81306">
        <w:rPr>
          <w:rFonts w:eastAsia="Arial"/>
          <w:sz w:val="20"/>
          <w:szCs w:val="20"/>
          <w:lang w:bidi="ru-RU"/>
        </w:rPr>
        <w:t>то</w:t>
      </w:r>
      <w:r w:rsidRPr="00C81306">
        <w:rPr>
          <w:sz w:val="20"/>
          <w:szCs w:val="20"/>
          <w:lang w:bidi="ru-RU"/>
        </w:rPr>
        <w:t>м пола показал, что обратная зависимость между уровнем потребления калия и метаболическим синдромом сохранялась для обоих полов (p-значение для тенденции = 0,043 для мужчин и 0,008 для женщин, по результатам анализа модели 3). Более того, эффект взаимодействия между уровнем потребления калия и полом не оказывал статистически значимого влияния на его связь с метаболическим синдромом (p-значение для эффекта взаимодействия </w:t>
      </w:r>
      <w:r w:rsidRPr="00C81306">
        <w:rPr>
          <w:rFonts w:eastAsia="Arial"/>
          <w:sz w:val="20"/>
          <w:szCs w:val="20"/>
          <w:lang w:bidi="ru-RU"/>
        </w:rPr>
        <w:t>&gt; </w:t>
      </w:r>
      <w:r w:rsidRPr="00C81306">
        <w:rPr>
          <w:sz w:val="20"/>
          <w:szCs w:val="20"/>
          <w:lang w:bidi="ru-RU"/>
        </w:rPr>
        <w:t>0,1).</w:t>
      </w:r>
    </w:p>
    <w:p w14:paraId="4F39FF91"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Наконец, в связи с сомнениями в достоверности метода опроса о рационе питания за прошедшие сутки  для оценки привычного рациона отдельных</w:t>
      </w:r>
      <w:r w:rsidRPr="00C81306">
        <w:rPr>
          <w:rFonts w:eastAsia="Arial"/>
          <w:sz w:val="20"/>
          <w:szCs w:val="20"/>
          <w:lang w:bidi="ru-RU"/>
        </w:rPr>
        <w:t xml:space="preserve"> </w:t>
      </w:r>
      <w:r w:rsidRPr="00C81306">
        <w:rPr>
          <w:sz w:val="20"/>
          <w:szCs w:val="20"/>
          <w:lang w:bidi="ru-RU"/>
        </w:rPr>
        <w:t xml:space="preserve">участников, мы повторили вышеуказанные анализы после исключения участников, указавших, что за последние 24 часа они ели больше (или меньше), чем обычно. Все </w:t>
      </w:r>
      <w:r w:rsidRPr="00C81306">
        <w:rPr>
          <w:rFonts w:eastAsia="Arial"/>
          <w:sz w:val="20"/>
          <w:szCs w:val="20"/>
          <w:lang w:bidi="ru-RU"/>
        </w:rPr>
        <w:t>ре</w:t>
      </w:r>
      <w:r w:rsidRPr="00C81306">
        <w:rPr>
          <w:sz w:val="20"/>
          <w:szCs w:val="20"/>
          <w:lang w:bidi="ru-RU"/>
        </w:rPr>
        <w:t xml:space="preserve">зультаты у оставшихся участников </w:t>
      </w:r>
      <w:r w:rsidRPr="00C81306">
        <w:rPr>
          <w:sz w:val="20"/>
          <w:szCs w:val="20"/>
          <w:lang w:bidi="ru-RU"/>
        </w:rPr>
        <w:lastRenderedPageBreak/>
        <w:t>сохранились (n = 5765), наблюдались только небольшие изменения детальных значений (</w:t>
      </w:r>
      <w:r w:rsidRPr="00C81306">
        <w:rPr>
          <w:color w:val="000066"/>
          <w:sz w:val="20"/>
          <w:szCs w:val="20"/>
          <w:lang w:bidi="ru-RU"/>
        </w:rPr>
        <w:t>Сопроводительная таблица 1</w:t>
      </w:r>
      <w:r w:rsidRPr="00C81306">
        <w:rPr>
          <w:sz w:val="20"/>
          <w:szCs w:val="20"/>
          <w:lang w:bidi="ru-RU"/>
        </w:rPr>
        <w:t>).</w:t>
      </w:r>
    </w:p>
    <w:p w14:paraId="4F39FF92" w14:textId="77777777" w:rsidR="008E0119" w:rsidRPr="00C81306" w:rsidRDefault="00D8072A" w:rsidP="00CD19C1">
      <w:pPr>
        <w:pStyle w:val="20"/>
        <w:keepNext/>
        <w:keepLines/>
        <w:numPr>
          <w:ilvl w:val="0"/>
          <w:numId w:val="1"/>
        </w:numPr>
        <w:shd w:val="clear" w:color="auto" w:fill="auto"/>
        <w:tabs>
          <w:tab w:val="left" w:pos="274"/>
        </w:tabs>
        <w:spacing w:before="120" w:after="120"/>
        <w:jc w:val="both"/>
        <w:rPr>
          <w:rFonts w:ascii="Times New Roman" w:hAnsi="Times New Roman" w:cs="Times New Roman"/>
          <w:b/>
          <w:sz w:val="20"/>
          <w:szCs w:val="20"/>
        </w:rPr>
      </w:pPr>
      <w:bookmarkStart w:id="46" w:name="bookmark46"/>
      <w:bookmarkStart w:id="47" w:name="bookmark47"/>
      <w:bookmarkStart w:id="48" w:name="bookmark48"/>
      <w:r w:rsidRPr="00C81306">
        <w:rPr>
          <w:rFonts w:ascii="Times New Roman" w:hAnsi="Times New Roman" w:cs="Times New Roman"/>
          <w:b/>
          <w:sz w:val="20"/>
          <w:szCs w:val="20"/>
          <w:lang w:bidi="ru-RU"/>
        </w:rPr>
        <w:t>Обсуждение</w:t>
      </w:r>
      <w:bookmarkEnd w:id="46"/>
      <w:bookmarkEnd w:id="47"/>
      <w:bookmarkEnd w:id="48"/>
    </w:p>
    <w:p w14:paraId="4F39FF93"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Наше исследование указывает на наличие обратной зависимости между уровнем потребления калия и метаболическим синдромом и его компонентами у взрослых. Эта связь не зависела от других возможных искажающих факторов и прослеживалась в равной мере как у мужчин, так и женщин.</w:t>
      </w:r>
    </w:p>
    <w:p w14:paraId="4F39FF94" w14:textId="66684BCA" w:rsidR="008E0119" w:rsidRPr="00C81306" w:rsidRDefault="00D8072A" w:rsidP="00CD19C1">
      <w:pPr>
        <w:pStyle w:val="1"/>
        <w:shd w:val="clear" w:color="auto" w:fill="auto"/>
        <w:ind w:firstLine="360"/>
        <w:jc w:val="both"/>
        <w:rPr>
          <w:sz w:val="20"/>
          <w:szCs w:val="20"/>
        </w:rPr>
      </w:pPr>
      <w:r w:rsidRPr="00C81306">
        <w:rPr>
          <w:sz w:val="20"/>
          <w:szCs w:val="20"/>
          <w:lang w:bidi="ru-RU"/>
        </w:rPr>
        <w:t>В нескольких исследованиях была установлена обратная корреляция между уровнем артериального давления и уровнем потребления калия с пищей по данным опроса о рационе питания за прошедшие сутки или оценки суточной экскреции калия с мочой</w:t>
      </w:r>
      <w:hyperlink w:anchor="bookmark72" w:tooltip="Текущий документ">
        <w:r w:rsidRPr="00C81306">
          <w:rPr>
            <w:color w:val="000066"/>
            <w:sz w:val="20"/>
            <w:szCs w:val="20"/>
            <w:lang w:bidi="ru-RU"/>
          </w:rPr>
          <w:t>[9</w:t>
        </w:r>
      </w:hyperlink>
      <w:r w:rsidR="00CD19C1" w:rsidRPr="00C81306">
        <w:rPr>
          <w:rFonts w:eastAsia="Arial"/>
          <w:color w:val="000066"/>
          <w:sz w:val="20"/>
          <w:szCs w:val="20"/>
          <w:lang w:bidi="ru-RU"/>
        </w:rPr>
        <w:t>-</w:t>
      </w:r>
      <w:hyperlink w:anchor="bookmark72" w:tooltip="Текущий документ">
        <w:r w:rsidRPr="00C81306">
          <w:rPr>
            <w:color w:val="000066"/>
            <w:sz w:val="20"/>
            <w:szCs w:val="20"/>
            <w:lang w:bidi="ru-RU"/>
          </w:rPr>
          <w:t>11]</w:t>
        </w:r>
      </w:hyperlink>
      <w:r w:rsidRPr="00C81306">
        <w:rPr>
          <w:sz w:val="20"/>
          <w:szCs w:val="20"/>
          <w:lang w:bidi="ru-RU"/>
        </w:rPr>
        <w:t xml:space="preserve">, хотя это наблюдение считается спорным и остается открытым для обсуждения </w:t>
      </w:r>
      <w:r w:rsidRPr="00C81306">
        <w:rPr>
          <w:color w:val="000066"/>
          <w:sz w:val="20"/>
          <w:szCs w:val="20"/>
          <w:lang w:bidi="ru-RU"/>
        </w:rPr>
        <w:t>[26,27]</w:t>
      </w:r>
      <w:r w:rsidRPr="00C81306">
        <w:rPr>
          <w:sz w:val="20"/>
          <w:szCs w:val="20"/>
          <w:lang w:bidi="ru-RU"/>
        </w:rPr>
        <w:t>. Наше исследование показало, что более высокий уровень потребления калия связан с более низким артериальным давлением, однако обратная зависимость ослабевала после коррекции с учетом основных факторов образа жизни и питания. Таким образом, высокий уровень потребления калия сам по себе не является достато</w:t>
      </w:r>
      <w:r w:rsidRPr="00C81306">
        <w:rPr>
          <w:rFonts w:eastAsia="Arial"/>
          <w:sz w:val="20"/>
          <w:szCs w:val="20"/>
          <w:lang w:bidi="ru-RU"/>
        </w:rPr>
        <w:t>чн</w:t>
      </w:r>
      <w:r w:rsidRPr="00C81306">
        <w:rPr>
          <w:sz w:val="20"/>
          <w:szCs w:val="20"/>
          <w:lang w:bidi="ru-RU"/>
        </w:rPr>
        <w:t xml:space="preserve">ым объяснением более низкого уровня артериального давления. Хотя точный механизм не установлен, полагают, что повышенный уровень потребления калия ослабляет чувствительность к натрию и его прессорные эффекты </w:t>
      </w:r>
      <w:r w:rsidRPr="00C81306">
        <w:rPr>
          <w:color w:val="000066"/>
          <w:sz w:val="20"/>
          <w:szCs w:val="20"/>
          <w:lang w:bidi="ru-RU"/>
        </w:rPr>
        <w:t>[28]</w:t>
      </w:r>
      <w:r w:rsidRPr="00C81306">
        <w:rPr>
          <w:sz w:val="20"/>
          <w:szCs w:val="20"/>
          <w:lang w:bidi="ru-RU"/>
        </w:rPr>
        <w:t xml:space="preserve">. Так, в некоторых исследованиях, изучавших в частности биологическое взаимодействие натрия и калия, было  установлено, что соотношение Na:K имеет более тесную связь с артериальным давлением, чем, калий как таковой </w:t>
      </w:r>
      <w:hyperlink w:anchor="bookmark72" w:tooltip="Текущий документ">
        <w:r w:rsidRPr="00C81306">
          <w:rPr>
            <w:color w:val="000066"/>
            <w:sz w:val="20"/>
            <w:szCs w:val="20"/>
            <w:lang w:bidi="ru-RU"/>
          </w:rPr>
          <w:t>[9,10]</w:t>
        </w:r>
      </w:hyperlink>
      <w:r w:rsidRPr="00C81306">
        <w:rPr>
          <w:sz w:val="20"/>
          <w:szCs w:val="20"/>
          <w:lang w:bidi="ru-RU"/>
        </w:rPr>
        <w:t>. Напротив, в нашем исследовании знач</w:t>
      </w:r>
      <w:r w:rsidRPr="00C81306">
        <w:rPr>
          <w:rFonts w:eastAsia="Arial"/>
          <w:sz w:val="20"/>
          <w:szCs w:val="20"/>
          <w:lang w:bidi="ru-RU"/>
        </w:rPr>
        <w:t>им</w:t>
      </w:r>
      <w:r w:rsidRPr="00C81306">
        <w:rPr>
          <w:sz w:val="20"/>
          <w:szCs w:val="20"/>
          <w:lang w:bidi="ru-RU"/>
        </w:rPr>
        <w:t>ой зависимости между соотношением Na:K и повышенным артериальным давлением или метаболическим синдромом выявлено не было.</w:t>
      </w:r>
    </w:p>
    <w:p w14:paraId="4F39FF96" w14:textId="18463DDA" w:rsidR="008E0119" w:rsidRPr="00C81306" w:rsidRDefault="00D8072A" w:rsidP="00C81306">
      <w:pPr>
        <w:pStyle w:val="1"/>
        <w:shd w:val="clear" w:color="auto" w:fill="auto"/>
        <w:ind w:firstLine="360"/>
        <w:jc w:val="both"/>
        <w:rPr>
          <w:sz w:val="20"/>
          <w:szCs w:val="20"/>
        </w:rPr>
      </w:pPr>
      <w:r w:rsidRPr="00C81306">
        <w:rPr>
          <w:sz w:val="20"/>
          <w:szCs w:val="20"/>
          <w:lang w:bidi="ru-RU"/>
        </w:rPr>
        <w:t xml:space="preserve">Калий также играет важнейшую роль в секреции инсулина бета-клетками поджелудочной железы </w:t>
      </w:r>
      <w:r w:rsidRPr="00C81306">
        <w:rPr>
          <w:color w:val="000066"/>
          <w:sz w:val="20"/>
          <w:szCs w:val="20"/>
          <w:lang w:bidi="ru-RU"/>
        </w:rPr>
        <w:t xml:space="preserve">[29] </w:t>
      </w:r>
      <w:r w:rsidRPr="00C81306">
        <w:rPr>
          <w:sz w:val="20"/>
          <w:szCs w:val="20"/>
          <w:lang w:bidi="ru-RU"/>
        </w:rPr>
        <w:t xml:space="preserve">и в метаболизме углеводов, в частности, в синтезе гликогена из глюкозы </w:t>
      </w:r>
      <w:hyperlink w:anchor="bookmark69" w:tooltip="Текущий документ">
        <w:r w:rsidRPr="00C81306">
          <w:rPr>
            <w:color w:val="000066"/>
            <w:sz w:val="20"/>
            <w:szCs w:val="20"/>
            <w:lang w:bidi="ru-RU"/>
          </w:rPr>
          <w:t>[3,30]</w:t>
        </w:r>
      </w:hyperlink>
      <w:r w:rsidRPr="00C81306">
        <w:rPr>
          <w:sz w:val="20"/>
          <w:szCs w:val="20"/>
          <w:lang w:bidi="ru-RU"/>
        </w:rPr>
        <w:t>. Поэтому гипокалиемия может привести к нарушению секреции инсулина, а также к</w:t>
      </w:r>
      <w:r w:rsidRPr="00A16EEF">
        <w:rPr>
          <w:lang w:bidi="ru-RU"/>
        </w:rPr>
        <w:t xml:space="preserve"> </w:t>
      </w:r>
      <w:r w:rsidRPr="00C81306">
        <w:rPr>
          <w:sz w:val="20"/>
          <w:szCs w:val="20"/>
          <w:lang w:bidi="ru-RU"/>
        </w:rPr>
        <w:t xml:space="preserve">нарушению толерантности к глюкозе. В двух недавно проведенных исследованиях было установлено, что низкий уровень калия в сыворотке крови является независимым прогностическим фактором развития сахарного диабета </w:t>
      </w:r>
      <w:r w:rsidRPr="00C81306">
        <w:rPr>
          <w:color w:val="000066"/>
          <w:sz w:val="20"/>
          <w:szCs w:val="20"/>
          <w:lang w:bidi="ru-RU"/>
        </w:rPr>
        <w:t>[31,32]</w:t>
      </w:r>
      <w:r w:rsidRPr="00C81306">
        <w:rPr>
          <w:sz w:val="20"/>
          <w:szCs w:val="20"/>
          <w:lang w:bidi="ru-RU"/>
        </w:rPr>
        <w:t xml:space="preserve">. В отличие от концентрации калия в сыворотке крови, зависимость между потреблением калия с пищей и риском сахарного диабета является спорным вопросом </w:t>
      </w:r>
      <w:r w:rsidRPr="00C81306">
        <w:rPr>
          <w:color w:val="000066"/>
          <w:sz w:val="20"/>
          <w:szCs w:val="20"/>
          <w:lang w:bidi="ru-RU"/>
        </w:rPr>
        <w:t>[12,31]</w:t>
      </w:r>
      <w:r w:rsidRPr="00C81306">
        <w:rPr>
          <w:sz w:val="20"/>
          <w:szCs w:val="20"/>
          <w:lang w:bidi="ru-RU"/>
        </w:rPr>
        <w:t xml:space="preserve">. Согласно полученным нами результатам после коррекции с учетом множественных факторов, у лиц, потреблявших больше калия с пищей, реже выявлялась гипергликемия натощак. Поскольку пациенты с сахарным диабетом были исключены из нашего исследования, мы не могли непосредственно оценить связь между уровнем потребления калия и сахарным диабетом. Тем не менее, полученные нами результаты указывают на возможное положительное влияние потребления калия в отношении гипергликемии натощак (или нарушенной гликемии натощак) – изменений, предшествующих и тесно связанных с дальнейшим развитием сахарного диабета </w:t>
      </w:r>
      <w:r w:rsidRPr="00C81306">
        <w:rPr>
          <w:color w:val="000066"/>
          <w:sz w:val="20"/>
          <w:szCs w:val="20"/>
          <w:lang w:bidi="ru-RU"/>
        </w:rPr>
        <w:t>[33]</w:t>
      </w:r>
      <w:r w:rsidRPr="00C81306">
        <w:rPr>
          <w:sz w:val="20"/>
          <w:szCs w:val="20"/>
          <w:lang w:bidi="ru-RU"/>
        </w:rPr>
        <w:t>. Интересно отметить, что эта обратная зависимость не была знач</w:t>
      </w:r>
      <w:r w:rsidRPr="00C81306">
        <w:rPr>
          <w:rFonts w:eastAsia="Arial"/>
          <w:sz w:val="20"/>
          <w:szCs w:val="20"/>
          <w:lang w:bidi="ru-RU"/>
        </w:rPr>
        <w:t>им</w:t>
      </w:r>
      <w:r w:rsidRPr="00C81306">
        <w:rPr>
          <w:sz w:val="20"/>
          <w:szCs w:val="20"/>
          <w:lang w:bidi="ru-RU"/>
        </w:rPr>
        <w:t>ой до коррекции с учетом факторов питания (модели 1 и 2). Однако после дополнительной коррекции с учетом факторов питания в модели 3 обратная зависимость приобрела статистическую знач</w:t>
      </w:r>
      <w:r w:rsidRPr="00C81306">
        <w:rPr>
          <w:rFonts w:eastAsia="Arial"/>
          <w:sz w:val="20"/>
          <w:szCs w:val="20"/>
          <w:lang w:bidi="ru-RU"/>
        </w:rPr>
        <w:t>им</w:t>
      </w:r>
      <w:r w:rsidRPr="00C81306">
        <w:rPr>
          <w:sz w:val="20"/>
          <w:szCs w:val="20"/>
          <w:lang w:bidi="ru-RU"/>
        </w:rPr>
        <w:t xml:space="preserve">ость. Это можно объяснить возможным влиянием рациона на уровень глюкозы натощак </w:t>
      </w:r>
      <w:r w:rsidRPr="00C81306">
        <w:rPr>
          <w:color w:val="000066"/>
          <w:sz w:val="20"/>
          <w:szCs w:val="20"/>
          <w:lang w:bidi="ru-RU"/>
        </w:rPr>
        <w:t>[34]</w:t>
      </w:r>
      <w:r w:rsidRPr="00C81306">
        <w:rPr>
          <w:sz w:val="20"/>
          <w:szCs w:val="20"/>
          <w:lang w:bidi="ru-RU"/>
        </w:rPr>
        <w:t>. Среди нескольких факторов питания общая калорийность была самым знач</w:t>
      </w:r>
      <w:r w:rsidRPr="00C81306">
        <w:rPr>
          <w:rFonts w:eastAsia="Arial"/>
          <w:sz w:val="20"/>
          <w:szCs w:val="20"/>
          <w:lang w:bidi="ru-RU"/>
        </w:rPr>
        <w:t>им</w:t>
      </w:r>
      <w:r w:rsidRPr="00C81306">
        <w:rPr>
          <w:sz w:val="20"/>
          <w:szCs w:val="20"/>
          <w:lang w:bidi="ru-RU"/>
        </w:rPr>
        <w:t>ым отрицательным искажающим фактором в отношении зависимости между уровнем потребления калия и гипергликемией натощак (данные не приведены). Требуется больше исследований, чтобы подтве</w:t>
      </w:r>
      <w:r w:rsidRPr="00C81306">
        <w:rPr>
          <w:rFonts w:eastAsia="Arial"/>
          <w:sz w:val="20"/>
          <w:szCs w:val="20"/>
          <w:lang w:bidi="ru-RU"/>
        </w:rPr>
        <w:t>рд</w:t>
      </w:r>
      <w:r w:rsidRPr="00C81306">
        <w:rPr>
          <w:sz w:val="20"/>
          <w:szCs w:val="20"/>
          <w:lang w:bidi="ru-RU"/>
        </w:rPr>
        <w:t>ить этот результат и изучить лежащий в его основе механизм.</w:t>
      </w:r>
    </w:p>
    <w:p w14:paraId="4F39FF97"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До недавнего времени ни в одном исследовании не была описана зависимость между уровнем потребления калия и абдоминальным ожирением. Полученные нами результаты указывают на наличие обратной зависимости между уровнем потребления калия и абдоминальным ожирением. Принимая во внимание надежно доказанную благоприят</w:t>
      </w:r>
      <w:r w:rsidRPr="00C81306">
        <w:rPr>
          <w:rFonts w:eastAsia="Arial"/>
          <w:sz w:val="20"/>
          <w:szCs w:val="20"/>
          <w:lang w:bidi="ru-RU"/>
        </w:rPr>
        <w:t>ную</w:t>
      </w:r>
      <w:r w:rsidRPr="00C81306">
        <w:rPr>
          <w:sz w:val="20"/>
          <w:szCs w:val="20"/>
          <w:lang w:bidi="ru-RU"/>
        </w:rPr>
        <w:t xml:space="preserve"> зависимость между ожирением и потреблением овощей и фруктов </w:t>
      </w:r>
      <w:r w:rsidRPr="00C81306">
        <w:rPr>
          <w:color w:val="000066"/>
          <w:sz w:val="20"/>
          <w:szCs w:val="20"/>
          <w:lang w:bidi="ru-RU"/>
        </w:rPr>
        <w:t>[35]</w:t>
      </w:r>
      <w:r w:rsidRPr="00C81306">
        <w:rPr>
          <w:sz w:val="20"/>
          <w:szCs w:val="20"/>
          <w:lang w:bidi="ru-RU"/>
        </w:rPr>
        <w:t>, которые являются основными источниками калия с пищей, в будущих исследованиях можно рассматривать калий как один из возможных компонентов рациона, влияющих на абдоминальное ожирение.</w:t>
      </w:r>
    </w:p>
    <w:p w14:paraId="4F39FF98"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Основными источниками калия в продуктах питания являются фрукты и овощи, потребление которых, как установлено, благоприя</w:t>
      </w:r>
      <w:r w:rsidRPr="00C81306">
        <w:rPr>
          <w:rFonts w:eastAsia="Arial"/>
          <w:sz w:val="20"/>
          <w:szCs w:val="20"/>
          <w:lang w:bidi="ru-RU"/>
        </w:rPr>
        <w:t>тн</w:t>
      </w:r>
      <w:r w:rsidRPr="00C81306">
        <w:rPr>
          <w:sz w:val="20"/>
          <w:szCs w:val="20"/>
          <w:lang w:bidi="ru-RU"/>
        </w:rPr>
        <w:t xml:space="preserve">о отражается на метаболическом синдроме </w:t>
      </w:r>
      <w:r w:rsidRPr="00C81306">
        <w:rPr>
          <w:color w:val="000066"/>
          <w:sz w:val="20"/>
          <w:szCs w:val="20"/>
          <w:lang w:bidi="ru-RU"/>
        </w:rPr>
        <w:t>[14]</w:t>
      </w:r>
      <w:r w:rsidRPr="00C81306">
        <w:rPr>
          <w:sz w:val="20"/>
          <w:szCs w:val="20"/>
          <w:lang w:bidi="ru-RU"/>
        </w:rPr>
        <w:t>. Однако мы не смогли принять во внимание общий уровень потребления фруктов/овощей в настоящем анализе, поскольку общедоступные данные исследования KNHANES IV не содержат этих сведений. Будущие исследования могут быть посвящены изучению зависимости между метаболическим синдромом и содержанием в рационе фруктов и овощей, а также других элементов, которыми богаты эти продукты питания.</w:t>
      </w:r>
    </w:p>
    <w:p w14:paraId="4F39FF99" w14:textId="77777777" w:rsidR="008E0119" w:rsidRPr="00C81306" w:rsidRDefault="00D8072A" w:rsidP="00CD19C1">
      <w:pPr>
        <w:pStyle w:val="30"/>
        <w:keepNext/>
        <w:keepLines/>
        <w:shd w:val="clear" w:color="auto" w:fill="auto"/>
        <w:spacing w:before="120" w:after="120" w:line="240" w:lineRule="auto"/>
        <w:rPr>
          <w:sz w:val="20"/>
          <w:szCs w:val="20"/>
        </w:rPr>
      </w:pPr>
      <w:bookmarkStart w:id="49" w:name="bookmark49"/>
      <w:bookmarkStart w:id="50" w:name="bookmark50"/>
      <w:r w:rsidRPr="00C81306">
        <w:rPr>
          <w:i/>
          <w:sz w:val="20"/>
          <w:szCs w:val="20"/>
          <w:lang w:bidi="ru-RU"/>
        </w:rPr>
        <w:t>4.1. Сильные стороны и ограничения</w:t>
      </w:r>
      <w:bookmarkEnd w:id="49"/>
      <w:bookmarkEnd w:id="50"/>
    </w:p>
    <w:p w14:paraId="4F39FF9A" w14:textId="77777777" w:rsidR="008E0119" w:rsidRPr="00C81306" w:rsidRDefault="00D8072A" w:rsidP="00CD19C1">
      <w:pPr>
        <w:pStyle w:val="1"/>
        <w:shd w:val="clear" w:color="auto" w:fill="auto"/>
        <w:ind w:firstLine="360"/>
        <w:jc w:val="both"/>
        <w:rPr>
          <w:sz w:val="20"/>
          <w:szCs w:val="20"/>
        </w:rPr>
      </w:pPr>
      <w:r w:rsidRPr="00C81306">
        <w:rPr>
          <w:sz w:val="20"/>
          <w:szCs w:val="20"/>
          <w:lang w:bidi="ru-RU"/>
        </w:rPr>
        <w:t>Данное исследование имеет ряд ограничений. Во-первых, как и в других эпидемиологических исследованиях питания, метод однократного опроса о  рационе питания за прошедшие сутки не является оптимальным способом оценки долгосрочного образа питания конкретных лиц</w:t>
      </w:r>
      <w:r w:rsidRPr="00C81306">
        <w:rPr>
          <w:rFonts w:eastAsia="Arial"/>
          <w:sz w:val="20"/>
          <w:szCs w:val="20"/>
          <w:lang w:bidi="ru-RU"/>
        </w:rPr>
        <w:t xml:space="preserve"> </w:t>
      </w:r>
      <w:r w:rsidRPr="00C81306">
        <w:rPr>
          <w:sz w:val="20"/>
          <w:szCs w:val="20"/>
          <w:lang w:bidi="ru-RU"/>
        </w:rPr>
        <w:t xml:space="preserve">и может неточно отражать уровень потребления того или иного нутриента в связи с ошибками памяти и неверными оценками размеров порций. Однако для взрослых, как правило, характерно стабильное потребление питательных веществ с течением времени </w:t>
      </w:r>
      <w:r w:rsidRPr="00C81306">
        <w:rPr>
          <w:color w:val="000066"/>
          <w:sz w:val="20"/>
          <w:szCs w:val="20"/>
          <w:lang w:bidi="ru-RU"/>
        </w:rPr>
        <w:t>[36,37]</w:t>
      </w:r>
      <w:r w:rsidRPr="00C81306">
        <w:rPr>
          <w:sz w:val="20"/>
          <w:szCs w:val="20"/>
          <w:lang w:bidi="ru-RU"/>
        </w:rPr>
        <w:t>, а оценка потребления калия методом однократного опроса о рационе питания за прошедшие сутки знач</w:t>
      </w:r>
      <w:r w:rsidRPr="00C81306">
        <w:rPr>
          <w:rFonts w:eastAsia="Arial"/>
          <w:sz w:val="20"/>
          <w:szCs w:val="20"/>
          <w:lang w:bidi="ru-RU"/>
        </w:rPr>
        <w:t>им</w:t>
      </w:r>
      <w:r w:rsidRPr="00C81306">
        <w:rPr>
          <w:sz w:val="20"/>
          <w:szCs w:val="20"/>
          <w:lang w:bidi="ru-RU"/>
        </w:rPr>
        <w:t xml:space="preserve">о коррелирует с совокупными данными по его долгосрочному потреблению </w:t>
      </w:r>
      <w:r w:rsidRPr="00C81306">
        <w:rPr>
          <w:color w:val="000066"/>
          <w:sz w:val="20"/>
          <w:szCs w:val="20"/>
          <w:lang w:bidi="ru-RU"/>
        </w:rPr>
        <w:t>[20]</w:t>
      </w:r>
      <w:r w:rsidRPr="00C81306">
        <w:rPr>
          <w:sz w:val="20"/>
          <w:szCs w:val="20"/>
          <w:lang w:bidi="ru-RU"/>
        </w:rPr>
        <w:t xml:space="preserve">, а также с уровнем суточной экскреции калия с мочой </w:t>
      </w:r>
      <w:r w:rsidRPr="00C81306">
        <w:rPr>
          <w:color w:val="000066"/>
          <w:sz w:val="20"/>
          <w:szCs w:val="20"/>
          <w:lang w:bidi="ru-RU"/>
        </w:rPr>
        <w:t>[21</w:t>
      </w:r>
      <w:r w:rsidRPr="00C81306">
        <w:rPr>
          <w:rFonts w:eastAsia="Arial"/>
          <w:color w:val="000066"/>
          <w:sz w:val="20"/>
          <w:szCs w:val="20"/>
          <w:lang w:bidi="ru-RU"/>
        </w:rPr>
        <w:t>-</w:t>
      </w:r>
      <w:r w:rsidRPr="00C81306">
        <w:rPr>
          <w:color w:val="000066"/>
          <w:sz w:val="20"/>
          <w:szCs w:val="20"/>
          <w:lang w:bidi="ru-RU"/>
        </w:rPr>
        <w:t>23]</w:t>
      </w:r>
      <w:r w:rsidRPr="00C81306">
        <w:rPr>
          <w:sz w:val="20"/>
          <w:szCs w:val="20"/>
          <w:lang w:bidi="ru-RU"/>
        </w:rPr>
        <w:t xml:space="preserve">. Кроме того, все </w:t>
      </w:r>
      <w:r w:rsidRPr="00C81306">
        <w:rPr>
          <w:rFonts w:eastAsia="Arial"/>
          <w:sz w:val="20"/>
          <w:szCs w:val="20"/>
          <w:lang w:bidi="ru-RU"/>
        </w:rPr>
        <w:t>ре</w:t>
      </w:r>
      <w:r w:rsidRPr="00C81306">
        <w:rPr>
          <w:sz w:val="20"/>
          <w:szCs w:val="20"/>
          <w:lang w:bidi="ru-RU"/>
        </w:rPr>
        <w:t>зультаты сохранялись даже тогда, когда мы ограничивали анализ участниками, которые указали, что их рацион за последние 24 часа не отличался от обычного, а в этом случае данные лучше отражают обычный рацион</w:t>
      </w:r>
      <w:r w:rsidRPr="00C81306">
        <w:rPr>
          <w:rFonts w:eastAsia="Arial"/>
          <w:sz w:val="20"/>
          <w:szCs w:val="20"/>
          <w:lang w:bidi="ru-RU"/>
        </w:rPr>
        <w:t xml:space="preserve"> </w:t>
      </w:r>
      <w:r w:rsidRPr="00C81306">
        <w:rPr>
          <w:sz w:val="20"/>
          <w:szCs w:val="20"/>
          <w:lang w:bidi="ru-RU"/>
        </w:rPr>
        <w:t xml:space="preserve"> (</w:t>
      </w:r>
      <w:r w:rsidRPr="00C81306">
        <w:rPr>
          <w:color w:val="000066"/>
          <w:sz w:val="20"/>
          <w:szCs w:val="20"/>
          <w:lang w:bidi="ru-RU"/>
        </w:rPr>
        <w:t>см. Сопроводительные материалы</w:t>
      </w:r>
      <w:r w:rsidRPr="00C81306">
        <w:rPr>
          <w:sz w:val="20"/>
          <w:szCs w:val="20"/>
          <w:lang w:bidi="ru-RU"/>
        </w:rPr>
        <w:t>). Для подтвер</w:t>
      </w:r>
      <w:r w:rsidRPr="00C81306">
        <w:rPr>
          <w:rFonts w:eastAsia="Arial"/>
          <w:sz w:val="20"/>
          <w:szCs w:val="20"/>
          <w:lang w:bidi="ru-RU"/>
        </w:rPr>
        <w:t>жд</w:t>
      </w:r>
      <w:r w:rsidRPr="00C81306">
        <w:rPr>
          <w:sz w:val="20"/>
          <w:szCs w:val="20"/>
          <w:lang w:bidi="ru-RU"/>
        </w:rPr>
        <w:t xml:space="preserve">ения установленной зависимости требуются дальнейшие исследования с применением многократных опросов участников о рационе питания за прошедшие сутки или оценкой суточной экскреции калия с мочой. Во-вторых, поперечный характер настоящего исследования не позволил нам установить точную причинно-следственную связь. Тем не менее, чтобы преодолеть проблему обратной причинности в подобном кросс-секционном </w:t>
      </w:r>
      <w:r w:rsidRPr="00C81306">
        <w:rPr>
          <w:sz w:val="20"/>
          <w:szCs w:val="20"/>
          <w:lang w:bidi="ru-RU"/>
        </w:rPr>
        <w:lastRenderedPageBreak/>
        <w:t xml:space="preserve">исследовании, мы исключили участников с хроническими заболеваниями, которые могли бы изменить свой образ питания после установления диагноза. Несмотря на перечисленные ограничения, это исследование представляет ценность, поскольку в нем </w:t>
      </w:r>
      <w:r w:rsidRPr="00C81306">
        <w:rPr>
          <w:rFonts w:eastAsia="Arial"/>
          <w:sz w:val="20"/>
          <w:szCs w:val="20"/>
          <w:lang w:bidi="ru-RU"/>
        </w:rPr>
        <w:t>вп</w:t>
      </w:r>
      <w:r w:rsidRPr="00C81306">
        <w:rPr>
          <w:sz w:val="20"/>
          <w:szCs w:val="20"/>
          <w:lang w:bidi="ru-RU"/>
        </w:rPr>
        <w:t>ервые была изучена зависимость между уровнем потребления калия и метаболическим синдромом и его компонентами в популяции, репрезентативной целой нации, после коррекции с учетом нескольких искажающих факторов.</w:t>
      </w:r>
    </w:p>
    <w:p w14:paraId="4F39FF9B" w14:textId="77777777" w:rsidR="008E0119" w:rsidRPr="00C81306" w:rsidRDefault="00D8072A" w:rsidP="005113A2">
      <w:pPr>
        <w:pStyle w:val="20"/>
        <w:keepNext/>
        <w:keepLines/>
        <w:numPr>
          <w:ilvl w:val="0"/>
          <w:numId w:val="1"/>
        </w:numPr>
        <w:shd w:val="clear" w:color="auto" w:fill="auto"/>
        <w:tabs>
          <w:tab w:val="left" w:pos="274"/>
        </w:tabs>
        <w:spacing w:before="120" w:after="120"/>
        <w:rPr>
          <w:rFonts w:ascii="Times New Roman" w:hAnsi="Times New Roman" w:cs="Times New Roman"/>
          <w:b/>
          <w:sz w:val="20"/>
          <w:szCs w:val="20"/>
        </w:rPr>
      </w:pPr>
      <w:bookmarkStart w:id="51" w:name="bookmark51"/>
      <w:bookmarkStart w:id="52" w:name="bookmark52"/>
      <w:r w:rsidRPr="00C81306">
        <w:rPr>
          <w:rFonts w:ascii="Times New Roman" w:hAnsi="Times New Roman" w:cs="Times New Roman"/>
          <w:b/>
          <w:sz w:val="20"/>
          <w:szCs w:val="20"/>
          <w:lang w:bidi="ru-RU"/>
        </w:rPr>
        <w:t>Заключение</w:t>
      </w:r>
      <w:bookmarkEnd w:id="51"/>
      <w:bookmarkEnd w:id="52"/>
    </w:p>
    <w:p w14:paraId="4F39FF9C" w14:textId="77777777" w:rsidR="008E0119" w:rsidRPr="00C81306" w:rsidRDefault="00D8072A" w:rsidP="005113A2">
      <w:pPr>
        <w:pStyle w:val="1"/>
        <w:shd w:val="clear" w:color="auto" w:fill="auto"/>
        <w:ind w:firstLine="360"/>
        <w:jc w:val="both"/>
        <w:rPr>
          <w:sz w:val="20"/>
          <w:szCs w:val="20"/>
        </w:rPr>
      </w:pPr>
      <w:r w:rsidRPr="00C81306">
        <w:rPr>
          <w:sz w:val="20"/>
          <w:szCs w:val="20"/>
          <w:lang w:bidi="ru-RU"/>
        </w:rPr>
        <w:t>В заключение необходимо отметить, что в нашем исследовании выявлена знач</w:t>
      </w:r>
      <w:r w:rsidRPr="00C81306">
        <w:rPr>
          <w:rFonts w:eastAsia="Arial"/>
          <w:sz w:val="20"/>
          <w:szCs w:val="20"/>
          <w:lang w:bidi="ru-RU"/>
        </w:rPr>
        <w:t>им</w:t>
      </w:r>
      <w:r w:rsidRPr="00C81306">
        <w:rPr>
          <w:sz w:val="20"/>
          <w:szCs w:val="20"/>
          <w:lang w:bidi="ru-RU"/>
        </w:rPr>
        <w:t>ая обратная зависимость между уровнем потребления калия и метаболическим синдромом у взрослых в общей популяции. Для подтвержд</w:t>
      </w:r>
      <w:r w:rsidRPr="00C81306">
        <w:rPr>
          <w:rFonts w:eastAsia="Arial"/>
          <w:sz w:val="20"/>
          <w:szCs w:val="20"/>
          <w:lang w:bidi="ru-RU"/>
        </w:rPr>
        <w:t>ен</w:t>
      </w:r>
      <w:r w:rsidRPr="00C81306">
        <w:rPr>
          <w:sz w:val="20"/>
          <w:szCs w:val="20"/>
          <w:lang w:bidi="ru-RU"/>
        </w:rPr>
        <w:t>ия этой зависимости требуются дальнейшие исследования.</w:t>
      </w:r>
    </w:p>
    <w:p w14:paraId="4F39FF9D" w14:textId="77777777" w:rsidR="008E0119" w:rsidRPr="00C81306" w:rsidRDefault="00D8072A" w:rsidP="005113A2">
      <w:pPr>
        <w:pStyle w:val="20"/>
        <w:keepNext/>
        <w:keepLines/>
        <w:shd w:val="clear" w:color="auto" w:fill="auto"/>
        <w:spacing w:before="100" w:after="100"/>
        <w:jc w:val="both"/>
        <w:rPr>
          <w:rFonts w:ascii="Times New Roman" w:hAnsi="Times New Roman" w:cs="Times New Roman"/>
          <w:b/>
          <w:sz w:val="20"/>
          <w:szCs w:val="20"/>
        </w:rPr>
      </w:pPr>
      <w:bookmarkStart w:id="53" w:name="bookmark53"/>
      <w:bookmarkStart w:id="54" w:name="bookmark54"/>
      <w:r w:rsidRPr="00C81306">
        <w:rPr>
          <w:rFonts w:ascii="Times New Roman" w:hAnsi="Times New Roman" w:cs="Times New Roman"/>
          <w:b/>
          <w:sz w:val="20"/>
          <w:szCs w:val="20"/>
          <w:lang w:bidi="ru-RU"/>
        </w:rPr>
        <w:t>Вклад авторов</w:t>
      </w:r>
      <w:bookmarkEnd w:id="53"/>
      <w:bookmarkEnd w:id="54"/>
    </w:p>
    <w:p w14:paraId="4F39FF9E" w14:textId="77777777" w:rsidR="008E0119" w:rsidRPr="00C81306" w:rsidRDefault="00D8072A" w:rsidP="005113A2">
      <w:pPr>
        <w:pStyle w:val="1"/>
        <w:shd w:val="clear" w:color="auto" w:fill="auto"/>
        <w:ind w:firstLine="360"/>
        <w:jc w:val="both"/>
        <w:rPr>
          <w:sz w:val="20"/>
          <w:szCs w:val="20"/>
        </w:rPr>
      </w:pPr>
      <w:r w:rsidRPr="00C81306">
        <w:rPr>
          <w:sz w:val="20"/>
          <w:szCs w:val="20"/>
          <w:lang w:bidi="ru-RU"/>
        </w:rPr>
        <w:t xml:space="preserve">Д-р Шин (Shin) имел полный доступ ко всем материалам исследования и несет ответственность за полноту данных и точность анализа. </w:t>
      </w:r>
      <w:r w:rsidRPr="00C81306">
        <w:rPr>
          <w:i/>
          <w:sz w:val="20"/>
          <w:szCs w:val="20"/>
          <w:lang w:bidi="ru-RU"/>
        </w:rPr>
        <w:t>Разработка и дизайн исследования:</w:t>
      </w:r>
      <w:r w:rsidRPr="00C81306">
        <w:rPr>
          <w:sz w:val="20"/>
          <w:szCs w:val="20"/>
          <w:lang w:bidi="ru-RU"/>
        </w:rPr>
        <w:t xml:space="preserve"> Шин. </w:t>
      </w:r>
      <w:r w:rsidRPr="00C81306">
        <w:rPr>
          <w:i/>
          <w:sz w:val="20"/>
          <w:szCs w:val="20"/>
          <w:lang w:bidi="ru-RU"/>
        </w:rPr>
        <w:t xml:space="preserve">Сбор данных: </w:t>
      </w:r>
      <w:r w:rsidRPr="00C81306">
        <w:rPr>
          <w:sz w:val="20"/>
          <w:szCs w:val="20"/>
          <w:lang w:bidi="ru-RU"/>
        </w:rPr>
        <w:t xml:space="preserve">Шин и Парк (Park). </w:t>
      </w:r>
      <w:r w:rsidRPr="00C81306">
        <w:rPr>
          <w:i/>
          <w:sz w:val="20"/>
          <w:szCs w:val="20"/>
          <w:lang w:bidi="ru-RU"/>
        </w:rPr>
        <w:t>Анализ и интерпретация данных:</w:t>
      </w:r>
      <w:r w:rsidRPr="00C81306">
        <w:rPr>
          <w:sz w:val="20"/>
          <w:szCs w:val="20"/>
          <w:lang w:bidi="ru-RU"/>
        </w:rPr>
        <w:t xml:space="preserve"> Шин, Джо (Joh), Ким (Kim) и Парк. </w:t>
      </w:r>
      <w:r w:rsidRPr="00C81306">
        <w:rPr>
          <w:i/>
          <w:sz w:val="20"/>
          <w:szCs w:val="20"/>
          <w:lang w:bidi="ru-RU"/>
        </w:rPr>
        <w:t>Черновик статьи:</w:t>
      </w:r>
      <w:r w:rsidRPr="00C81306">
        <w:rPr>
          <w:sz w:val="20"/>
          <w:szCs w:val="20"/>
          <w:lang w:bidi="ru-RU"/>
        </w:rPr>
        <w:t xml:space="preserve"> Шин. </w:t>
      </w:r>
      <w:r w:rsidRPr="00C81306">
        <w:rPr>
          <w:i/>
          <w:sz w:val="20"/>
          <w:szCs w:val="20"/>
          <w:lang w:bidi="ru-RU"/>
        </w:rPr>
        <w:t>Критический анализ статьи на предмет важного интеллектуального содержимого:</w:t>
      </w:r>
      <w:r w:rsidRPr="00C81306">
        <w:rPr>
          <w:sz w:val="20"/>
          <w:szCs w:val="20"/>
          <w:lang w:bidi="ru-RU"/>
        </w:rPr>
        <w:t xml:space="preserve"> Шин, Джо (Joh), Ким (Kim) и Парк. </w:t>
      </w:r>
      <w:r w:rsidRPr="00C81306">
        <w:rPr>
          <w:i/>
          <w:sz w:val="20"/>
          <w:szCs w:val="20"/>
          <w:lang w:bidi="ru-RU"/>
        </w:rPr>
        <w:t>Статистический анализ:</w:t>
      </w:r>
      <w:r w:rsidRPr="00C81306">
        <w:rPr>
          <w:sz w:val="20"/>
          <w:szCs w:val="20"/>
          <w:lang w:bidi="ru-RU"/>
        </w:rPr>
        <w:t xml:space="preserve"> Шин и Ким. </w:t>
      </w:r>
      <w:r w:rsidRPr="00C81306">
        <w:rPr>
          <w:i/>
          <w:sz w:val="20"/>
          <w:szCs w:val="20"/>
          <w:lang w:bidi="ru-RU"/>
        </w:rPr>
        <w:t>Руководство исследованием:</w:t>
      </w:r>
      <w:r w:rsidRPr="00C81306">
        <w:rPr>
          <w:sz w:val="20"/>
          <w:szCs w:val="20"/>
          <w:lang w:bidi="ru-RU"/>
        </w:rPr>
        <w:t xml:space="preserve"> Парк. Все авторы утвердили итог</w:t>
      </w:r>
      <w:r w:rsidRPr="00C81306">
        <w:rPr>
          <w:rFonts w:eastAsia="Arial"/>
          <w:sz w:val="20"/>
          <w:szCs w:val="20"/>
          <w:lang w:bidi="ru-RU"/>
        </w:rPr>
        <w:t>ов</w:t>
      </w:r>
      <w:r w:rsidRPr="00C81306">
        <w:rPr>
          <w:sz w:val="20"/>
          <w:szCs w:val="20"/>
          <w:lang w:bidi="ru-RU"/>
        </w:rPr>
        <w:t>ую версию статьи для публикации.</w:t>
      </w:r>
    </w:p>
    <w:p w14:paraId="4F39FF9F" w14:textId="77777777" w:rsidR="008E0119" w:rsidRPr="00C81306" w:rsidRDefault="00D8072A" w:rsidP="005113A2">
      <w:pPr>
        <w:pStyle w:val="20"/>
        <w:keepNext/>
        <w:keepLines/>
        <w:shd w:val="clear" w:color="auto" w:fill="auto"/>
        <w:spacing w:before="100" w:after="100"/>
        <w:rPr>
          <w:rFonts w:ascii="Times New Roman" w:hAnsi="Times New Roman" w:cs="Times New Roman"/>
          <w:b/>
          <w:sz w:val="20"/>
          <w:szCs w:val="20"/>
        </w:rPr>
      </w:pPr>
      <w:bookmarkStart w:id="55" w:name="bookmark55"/>
      <w:bookmarkStart w:id="56" w:name="bookmark56"/>
      <w:r w:rsidRPr="00C81306">
        <w:rPr>
          <w:rFonts w:ascii="Times New Roman" w:hAnsi="Times New Roman" w:cs="Times New Roman"/>
          <w:b/>
          <w:sz w:val="20"/>
          <w:szCs w:val="20"/>
          <w:lang w:bidi="ru-RU"/>
        </w:rPr>
        <w:t>Конфликты интересов, подлежащие раскрытию</w:t>
      </w:r>
      <w:bookmarkEnd w:id="55"/>
      <w:bookmarkEnd w:id="56"/>
    </w:p>
    <w:p w14:paraId="4F39FFA0" w14:textId="77777777" w:rsidR="008E0119" w:rsidRPr="00C81306" w:rsidRDefault="00D8072A">
      <w:pPr>
        <w:pStyle w:val="1"/>
        <w:shd w:val="clear" w:color="auto" w:fill="auto"/>
        <w:ind w:firstLine="360"/>
        <w:rPr>
          <w:sz w:val="20"/>
          <w:szCs w:val="20"/>
        </w:rPr>
      </w:pPr>
      <w:r w:rsidRPr="00C81306">
        <w:rPr>
          <w:sz w:val="20"/>
          <w:szCs w:val="20"/>
          <w:lang w:bidi="ru-RU"/>
        </w:rPr>
        <w:t>Отсутствуют.</w:t>
      </w:r>
    </w:p>
    <w:p w14:paraId="4F39FFA1" w14:textId="77777777" w:rsidR="008E0119" w:rsidRPr="00C81306" w:rsidRDefault="00D8072A" w:rsidP="005113A2">
      <w:pPr>
        <w:pStyle w:val="20"/>
        <w:keepNext/>
        <w:keepLines/>
        <w:shd w:val="clear" w:color="auto" w:fill="auto"/>
        <w:spacing w:before="100" w:after="100"/>
        <w:rPr>
          <w:rFonts w:ascii="Times New Roman" w:hAnsi="Times New Roman" w:cs="Times New Roman"/>
          <w:b/>
          <w:sz w:val="20"/>
          <w:szCs w:val="20"/>
        </w:rPr>
      </w:pPr>
      <w:bookmarkStart w:id="57" w:name="bookmark57"/>
      <w:bookmarkStart w:id="58" w:name="bookmark58"/>
      <w:r w:rsidRPr="00C81306">
        <w:rPr>
          <w:rFonts w:ascii="Times New Roman" w:hAnsi="Times New Roman" w:cs="Times New Roman"/>
          <w:b/>
          <w:sz w:val="20"/>
          <w:szCs w:val="20"/>
          <w:lang w:bidi="ru-RU"/>
        </w:rPr>
        <w:t>Раскрытие информации</w:t>
      </w:r>
      <w:bookmarkEnd w:id="57"/>
      <w:bookmarkEnd w:id="58"/>
    </w:p>
    <w:p w14:paraId="4F39FFA2" w14:textId="77777777" w:rsidR="008E0119" w:rsidRPr="00C81306" w:rsidRDefault="00D8072A">
      <w:pPr>
        <w:pStyle w:val="1"/>
        <w:shd w:val="clear" w:color="auto" w:fill="auto"/>
        <w:ind w:firstLine="360"/>
        <w:rPr>
          <w:sz w:val="20"/>
          <w:szCs w:val="20"/>
        </w:rPr>
      </w:pPr>
      <w:r w:rsidRPr="00C81306">
        <w:rPr>
          <w:sz w:val="20"/>
          <w:szCs w:val="20"/>
          <w:lang w:bidi="ru-RU"/>
        </w:rPr>
        <w:t>У нас отсутствуют кон</w:t>
      </w:r>
      <w:r w:rsidRPr="00C81306">
        <w:rPr>
          <w:rFonts w:eastAsia="Arial"/>
          <w:sz w:val="20"/>
          <w:szCs w:val="20"/>
          <w:lang w:bidi="ru-RU"/>
        </w:rPr>
        <w:t>фл</w:t>
      </w:r>
      <w:r w:rsidRPr="00C81306">
        <w:rPr>
          <w:sz w:val="20"/>
          <w:szCs w:val="20"/>
          <w:lang w:bidi="ru-RU"/>
        </w:rPr>
        <w:t>икты интересов, подлежащие раскрытию.</w:t>
      </w:r>
    </w:p>
    <w:p w14:paraId="4F39FFA3" w14:textId="77777777" w:rsidR="008E0119" w:rsidRPr="00C81306" w:rsidRDefault="00D8072A" w:rsidP="005113A2">
      <w:pPr>
        <w:pStyle w:val="20"/>
        <w:keepNext/>
        <w:keepLines/>
        <w:shd w:val="clear" w:color="auto" w:fill="auto"/>
        <w:spacing w:before="100" w:after="100"/>
        <w:rPr>
          <w:rFonts w:ascii="Times New Roman" w:hAnsi="Times New Roman" w:cs="Times New Roman"/>
          <w:b/>
          <w:sz w:val="20"/>
          <w:szCs w:val="20"/>
        </w:rPr>
      </w:pPr>
      <w:bookmarkStart w:id="59" w:name="bookmark59"/>
      <w:bookmarkStart w:id="60" w:name="bookmark60"/>
      <w:r w:rsidRPr="00C81306">
        <w:rPr>
          <w:rFonts w:ascii="Times New Roman" w:hAnsi="Times New Roman" w:cs="Times New Roman"/>
          <w:b/>
          <w:sz w:val="20"/>
          <w:szCs w:val="20"/>
          <w:lang w:bidi="ru-RU"/>
        </w:rPr>
        <w:t>Финансирование</w:t>
      </w:r>
      <w:bookmarkEnd w:id="59"/>
      <w:bookmarkEnd w:id="60"/>
    </w:p>
    <w:p w14:paraId="4F39FFA4" w14:textId="77777777" w:rsidR="008E0119" w:rsidRPr="00C81306" w:rsidRDefault="00D8072A">
      <w:pPr>
        <w:pStyle w:val="1"/>
        <w:shd w:val="clear" w:color="auto" w:fill="auto"/>
        <w:ind w:firstLine="360"/>
        <w:rPr>
          <w:sz w:val="20"/>
          <w:szCs w:val="20"/>
        </w:rPr>
      </w:pPr>
      <w:r w:rsidRPr="00C81306">
        <w:rPr>
          <w:sz w:val="20"/>
          <w:szCs w:val="20"/>
          <w:lang w:bidi="ru-RU"/>
        </w:rPr>
        <w:t>Отсутствует.</w:t>
      </w:r>
    </w:p>
    <w:p w14:paraId="4F39FFA5" w14:textId="77777777" w:rsidR="008E0119" w:rsidRPr="00C81306" w:rsidRDefault="00D8072A" w:rsidP="005113A2">
      <w:pPr>
        <w:pStyle w:val="20"/>
        <w:keepNext/>
        <w:keepLines/>
        <w:shd w:val="clear" w:color="auto" w:fill="auto"/>
        <w:spacing w:before="100" w:after="100"/>
        <w:rPr>
          <w:rFonts w:ascii="Times New Roman" w:hAnsi="Times New Roman" w:cs="Times New Roman"/>
          <w:b/>
          <w:sz w:val="20"/>
          <w:szCs w:val="20"/>
        </w:rPr>
      </w:pPr>
      <w:bookmarkStart w:id="61" w:name="bookmark61"/>
      <w:bookmarkStart w:id="62" w:name="bookmark62"/>
      <w:r w:rsidRPr="00C81306">
        <w:rPr>
          <w:rFonts w:ascii="Times New Roman" w:hAnsi="Times New Roman" w:cs="Times New Roman"/>
          <w:b/>
          <w:sz w:val="20"/>
          <w:szCs w:val="20"/>
          <w:lang w:bidi="ru-RU"/>
        </w:rPr>
        <w:t>Благодарности</w:t>
      </w:r>
      <w:bookmarkEnd w:id="61"/>
      <w:bookmarkEnd w:id="62"/>
    </w:p>
    <w:p w14:paraId="4F39FFA6" w14:textId="77777777" w:rsidR="008E0119" w:rsidRPr="00C81306" w:rsidRDefault="00D8072A">
      <w:pPr>
        <w:pStyle w:val="1"/>
        <w:shd w:val="clear" w:color="auto" w:fill="auto"/>
        <w:ind w:firstLine="360"/>
        <w:rPr>
          <w:sz w:val="20"/>
          <w:szCs w:val="20"/>
        </w:rPr>
      </w:pPr>
      <w:r w:rsidRPr="00C81306">
        <w:rPr>
          <w:sz w:val="20"/>
          <w:szCs w:val="20"/>
          <w:lang w:bidi="ru-RU"/>
        </w:rPr>
        <w:t>Отсутствует.</w:t>
      </w:r>
    </w:p>
    <w:p w14:paraId="4F39FFA7" w14:textId="77777777" w:rsidR="008E0119" w:rsidRPr="00C81306" w:rsidRDefault="00D8072A" w:rsidP="005113A2">
      <w:pPr>
        <w:pStyle w:val="20"/>
        <w:keepNext/>
        <w:keepLines/>
        <w:shd w:val="clear" w:color="auto" w:fill="auto"/>
        <w:spacing w:before="100" w:after="100"/>
        <w:rPr>
          <w:rFonts w:ascii="Times New Roman" w:hAnsi="Times New Roman" w:cs="Times New Roman"/>
          <w:b/>
          <w:sz w:val="20"/>
          <w:szCs w:val="20"/>
        </w:rPr>
      </w:pPr>
      <w:bookmarkStart w:id="63" w:name="bookmark63"/>
      <w:bookmarkStart w:id="64" w:name="bookmark64"/>
      <w:r w:rsidRPr="00C81306">
        <w:rPr>
          <w:rFonts w:ascii="Times New Roman" w:hAnsi="Times New Roman" w:cs="Times New Roman"/>
          <w:b/>
          <w:sz w:val="20"/>
          <w:szCs w:val="20"/>
          <w:lang w:bidi="ru-RU"/>
        </w:rPr>
        <w:t>Приложение А. Сопроводительные материалы</w:t>
      </w:r>
      <w:bookmarkEnd w:id="63"/>
      <w:bookmarkEnd w:id="64"/>
    </w:p>
    <w:p w14:paraId="4F39FFA8" w14:textId="4E613069" w:rsidR="005113A2" w:rsidRPr="00C81306" w:rsidRDefault="00D8072A">
      <w:pPr>
        <w:pStyle w:val="1"/>
        <w:shd w:val="clear" w:color="auto" w:fill="auto"/>
        <w:ind w:firstLine="360"/>
        <w:rPr>
          <w:sz w:val="20"/>
          <w:szCs w:val="20"/>
        </w:rPr>
      </w:pPr>
      <w:r w:rsidRPr="00C81306">
        <w:rPr>
          <w:sz w:val="20"/>
          <w:szCs w:val="20"/>
          <w:lang w:bidi="ru-RU"/>
        </w:rPr>
        <w:t>Сопроводительные материалы, относящиеся к данной статье, можно найти по ссылке</w:t>
      </w:r>
      <w:hyperlink r:id="rId18" w:history="1">
        <w:r w:rsidRPr="00C81306">
          <w:rPr>
            <w:color w:val="000066"/>
            <w:sz w:val="20"/>
            <w:szCs w:val="20"/>
            <w:lang w:bidi="ru-RU"/>
          </w:rPr>
          <w:t xml:space="preserve"> http://</w:t>
        </w:r>
      </w:hyperlink>
      <w:r w:rsidRPr="00C81306">
        <w:rPr>
          <w:color w:val="000066"/>
          <w:sz w:val="20"/>
          <w:szCs w:val="20"/>
          <w:lang w:bidi="ru-RU"/>
        </w:rPr>
        <w:t xml:space="preserve"> </w:t>
      </w:r>
      <w:hyperlink r:id="rId19" w:history="1">
        <w:r w:rsidRPr="00C81306">
          <w:rPr>
            <w:color w:val="000066"/>
            <w:sz w:val="20"/>
            <w:szCs w:val="20"/>
            <w:lang w:bidi="ru-RU"/>
          </w:rPr>
          <w:t>dx.doi.org/10.1016/j.atherosclerosis.2013.06.025</w:t>
        </w:r>
      </w:hyperlink>
      <w:r w:rsidRPr="00C81306">
        <w:rPr>
          <w:sz w:val="20"/>
          <w:szCs w:val="20"/>
          <w:lang w:bidi="ru-RU"/>
        </w:rPr>
        <w:t>.</w:t>
      </w:r>
    </w:p>
    <w:p w14:paraId="4F39FFAB" w14:textId="7522C90A" w:rsidR="008E0119" w:rsidRDefault="00D8072A" w:rsidP="00B24174">
      <w:pPr>
        <w:pStyle w:val="20"/>
        <w:shd w:val="clear" w:color="auto" w:fill="auto"/>
        <w:spacing w:before="240" w:after="120" w:line="240" w:lineRule="auto"/>
        <w:jc w:val="both"/>
        <w:rPr>
          <w:rFonts w:ascii="Times New Roman" w:hAnsi="Times New Roman" w:cs="Times New Roman"/>
          <w:b/>
          <w:sz w:val="20"/>
          <w:szCs w:val="20"/>
          <w:lang w:bidi="ru-RU"/>
        </w:rPr>
      </w:pPr>
      <w:bookmarkStart w:id="65" w:name="bookmark66"/>
      <w:bookmarkStart w:id="66" w:name="bookmark67"/>
      <w:bookmarkStart w:id="67" w:name="bookmark65"/>
      <w:r w:rsidRPr="004130A4">
        <w:rPr>
          <w:rFonts w:ascii="Times New Roman" w:hAnsi="Times New Roman" w:cs="Times New Roman"/>
          <w:b/>
          <w:sz w:val="20"/>
          <w:szCs w:val="20"/>
          <w:lang w:bidi="ru-RU"/>
        </w:rPr>
        <w:t>Список литературы</w:t>
      </w:r>
      <w:bookmarkEnd w:id="65"/>
      <w:bookmarkEnd w:id="66"/>
      <w:bookmarkEnd w:id="67"/>
    </w:p>
    <w:p w14:paraId="2968BCF2" w14:textId="5779B857" w:rsidR="00501BF6" w:rsidRPr="00501BF6" w:rsidRDefault="00B24174" w:rsidP="00B24174">
      <w:pPr>
        <w:tabs>
          <w:tab w:val="left" w:pos="709"/>
        </w:tabs>
        <w:jc w:val="both"/>
        <w:rPr>
          <w:rFonts w:ascii="Times New Roman" w:hAnsi="Times New Roman" w:cs="Times New Roman"/>
          <w:sz w:val="16"/>
          <w:szCs w:val="16"/>
        </w:rPr>
      </w:pPr>
      <w:r>
        <w:rPr>
          <w:noProof/>
          <w:lang w:eastAsia="ru-RU" w:bidi="ar-SA"/>
        </w:rPr>
        <w:drawing>
          <wp:inline distT="0" distB="0" distL="0" distR="0" wp14:anchorId="2E3CC9FB" wp14:editId="5EDC2076">
            <wp:extent cx="6691631" cy="39846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1631" cy="3984626"/>
                    </a:xfrm>
                    <a:prstGeom prst="rect">
                      <a:avLst/>
                    </a:prstGeom>
                    <a:noFill/>
                    <a:ln>
                      <a:noFill/>
                    </a:ln>
                  </pic:spPr>
                </pic:pic>
              </a:graphicData>
            </a:graphic>
          </wp:inline>
        </w:drawing>
      </w:r>
      <w:r>
        <w:rPr>
          <w:noProof/>
          <w:lang w:eastAsia="ru-RU" w:bidi="ar-SA"/>
        </w:rPr>
        <w:lastRenderedPageBreak/>
        <w:drawing>
          <wp:inline distT="0" distB="0" distL="0" distR="0" wp14:anchorId="1FEFED66" wp14:editId="02EB7B7D">
            <wp:extent cx="6691631" cy="373253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1631" cy="3732531"/>
                    </a:xfrm>
                    <a:prstGeom prst="rect">
                      <a:avLst/>
                    </a:prstGeom>
                    <a:noFill/>
                    <a:ln>
                      <a:noFill/>
                    </a:ln>
                  </pic:spPr>
                </pic:pic>
              </a:graphicData>
            </a:graphic>
          </wp:inline>
        </w:drawing>
      </w:r>
    </w:p>
    <w:p w14:paraId="52878BA7" w14:textId="095CE93B" w:rsidR="00501BF6" w:rsidRPr="00501BF6" w:rsidRDefault="00501BF6" w:rsidP="00501BF6">
      <w:pPr>
        <w:rPr>
          <w:rFonts w:ascii="Times New Roman" w:hAnsi="Times New Roman" w:cs="Times New Roman"/>
          <w:sz w:val="16"/>
          <w:szCs w:val="16"/>
        </w:rPr>
      </w:pPr>
    </w:p>
    <w:sectPr w:rsidR="00501BF6" w:rsidRPr="00501BF6" w:rsidSect="00B24174">
      <w:footerReference w:type="default" r:id="rId22"/>
      <w:pgSz w:w="12240" w:h="16834"/>
      <w:pgMar w:top="1134" w:right="851" w:bottom="993" w:left="851" w:header="567" w:footer="567" w:gutter="0"/>
      <w:pgNumType w:start="8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61CF2" w14:textId="77777777" w:rsidR="00EA3BFF" w:rsidRDefault="00EA3BFF">
      <w:r>
        <w:separator/>
      </w:r>
    </w:p>
  </w:endnote>
  <w:endnote w:type="continuationSeparator" w:id="0">
    <w:p w14:paraId="01522A19" w14:textId="77777777" w:rsidR="00EA3BFF" w:rsidRDefault="00EA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84334" w14:textId="77777777" w:rsidR="00E8797D" w:rsidRPr="004005C2" w:rsidRDefault="00E8797D" w:rsidP="000D7E97">
    <w:pPr>
      <w:pStyle w:val="40"/>
      <w:shd w:val="clear" w:color="auto" w:fill="auto"/>
      <w:spacing w:before="60"/>
      <w:rPr>
        <w:color w:val="000000"/>
        <w:sz w:val="16"/>
        <w:szCs w:val="16"/>
        <w:lang w:bidi="ru-RU"/>
      </w:rPr>
    </w:pPr>
    <w:r w:rsidRPr="004005C2">
      <w:rPr>
        <w:color w:val="000000"/>
        <w:sz w:val="16"/>
        <w:szCs w:val="16"/>
        <w:lang w:val="en-US" w:bidi="ru-RU"/>
      </w:rPr>
      <w:t xml:space="preserve">0021-9150/$ </w:t>
    </w:r>
    <w:r w:rsidRPr="004005C2">
      <w:rPr>
        <w:rFonts w:eastAsia="Arial"/>
        <w:color w:val="000000"/>
        <w:sz w:val="16"/>
        <w:szCs w:val="16"/>
        <w:lang w:val="en-US" w:bidi="ru-RU"/>
      </w:rPr>
      <w:t xml:space="preserve">— </w:t>
    </w:r>
    <w:r w:rsidRPr="004005C2">
      <w:rPr>
        <w:color w:val="000000"/>
        <w:sz w:val="16"/>
        <w:szCs w:val="16"/>
        <w:lang w:bidi="ru-RU"/>
      </w:rPr>
      <w:t>см</w:t>
    </w:r>
    <w:r w:rsidRPr="004005C2">
      <w:rPr>
        <w:color w:val="000000"/>
        <w:sz w:val="16"/>
        <w:szCs w:val="16"/>
        <w:lang w:val="en-US" w:bidi="ru-RU"/>
      </w:rPr>
      <w:t xml:space="preserve">. </w:t>
    </w:r>
    <w:r w:rsidRPr="004005C2">
      <w:rPr>
        <w:color w:val="000000"/>
        <w:sz w:val="16"/>
        <w:szCs w:val="16"/>
        <w:lang w:bidi="ru-RU"/>
      </w:rPr>
      <w:t>обложку</w:t>
    </w:r>
    <w:r w:rsidRPr="004005C2">
      <w:rPr>
        <w:rFonts w:eastAsia="Arial"/>
        <w:color w:val="000000"/>
        <w:sz w:val="16"/>
        <w:szCs w:val="16"/>
        <w:lang w:val="en-US" w:bidi="ru-RU"/>
      </w:rPr>
      <w:t xml:space="preserve">© </w:t>
    </w:r>
    <w:r w:rsidRPr="004005C2">
      <w:rPr>
        <w:color w:val="000000"/>
        <w:sz w:val="16"/>
        <w:szCs w:val="16"/>
        <w:lang w:val="en-US" w:bidi="ru-RU"/>
      </w:rPr>
      <w:t xml:space="preserve">2013 Elsevier Ireland Ltd. </w:t>
    </w:r>
    <w:r w:rsidRPr="004005C2">
      <w:rPr>
        <w:color w:val="000000"/>
        <w:sz w:val="16"/>
        <w:szCs w:val="16"/>
        <w:lang w:bidi="ru-RU"/>
      </w:rPr>
      <w:t>Все права защищены.</w:t>
    </w:r>
  </w:p>
  <w:p w14:paraId="29A986A9" w14:textId="0E8BC177" w:rsidR="00E8797D" w:rsidRDefault="00EA3BFF" w:rsidP="00E8797D">
    <w:pPr>
      <w:pStyle w:val="40"/>
      <w:shd w:val="clear" w:color="auto" w:fill="auto"/>
      <w:spacing w:line="264" w:lineRule="auto"/>
      <w:rPr>
        <w:lang w:bidi="ru-RU"/>
      </w:rPr>
    </w:pPr>
    <w:hyperlink r:id="rId1" w:history="1">
      <w:r w:rsidR="00E8797D" w:rsidRPr="004005C2">
        <w:rPr>
          <w:rStyle w:val="af"/>
          <w:sz w:val="16"/>
          <w:szCs w:val="16"/>
          <w:lang w:bidi="ru-RU"/>
        </w:rPr>
        <w:t>http://dx.doi.org/10.1016/j.atherosclerosis.2013.06.025</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25627" w14:textId="78CC428F" w:rsidR="008A55D6" w:rsidRDefault="008A55D6" w:rsidP="00E8797D">
    <w:pPr>
      <w:pStyle w:val="40"/>
      <w:shd w:val="clear" w:color="auto" w:fill="auto"/>
      <w:spacing w:line="264" w:lineRule="auto"/>
      <w:rPr>
        <w:lang w:bidi="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39B1F" w14:textId="77777777" w:rsidR="00EA3BFF" w:rsidRDefault="00EA3BFF">
      <w:r>
        <w:separator/>
      </w:r>
    </w:p>
  </w:footnote>
  <w:footnote w:type="continuationSeparator" w:id="0">
    <w:p w14:paraId="0157DBEC" w14:textId="77777777" w:rsidR="00EA3BFF" w:rsidRDefault="00EA3BFF"/>
  </w:footnote>
  <w:footnote w:id="1">
    <w:p w14:paraId="4EB78102" w14:textId="514C9651" w:rsidR="000D7E97" w:rsidRPr="000D7E97" w:rsidRDefault="000D7E97" w:rsidP="000D7E97">
      <w:pPr>
        <w:pStyle w:val="af0"/>
        <w:jc w:val="both"/>
      </w:pPr>
      <w:r>
        <w:rPr>
          <w:rStyle w:val="af2"/>
        </w:rPr>
        <w:t>*</w:t>
      </w:r>
      <w:r w:rsidRPr="00E8797D">
        <w:rPr>
          <w:rFonts w:ascii="Times New Roman" w:hAnsi="Times New Roman" w:cs="Times New Roman"/>
          <w:sz w:val="16"/>
          <w:szCs w:val="16"/>
          <w:lang w:bidi="ru-RU"/>
        </w:rPr>
        <w:t>Автор, ответственный за переписку. Кафедра семейной медицины, Сеульская национальная клиническая университетская больница, Сеульский национальный университетский медицинский колледж, 28 Юнкеон-дон, Чонгро-гу, Сеул 110-744, Южная Корея. Тел.: +82 2 2072 3331; факс: +82 2 766 3276.</w:t>
      </w:r>
      <w:r w:rsidRPr="00E8797D">
        <w:rPr>
          <w:sz w:val="16"/>
          <w:szCs w:val="16"/>
          <w:lang w:bidi="ru-RU"/>
        </w:rPr>
        <w:t xml:space="preserve"> </w:t>
      </w:r>
      <w:r w:rsidRPr="00E8797D">
        <w:rPr>
          <w:rFonts w:ascii="Times New Roman" w:hAnsi="Times New Roman" w:cs="Times New Roman"/>
          <w:sz w:val="16"/>
          <w:szCs w:val="16"/>
          <w:lang w:bidi="ru-RU"/>
        </w:rPr>
        <w:t xml:space="preserve">Адрес эл. почты: </w:t>
      </w:r>
      <w:hyperlink r:id="rId1" w:history="1">
        <w:r w:rsidRPr="00E8797D">
          <w:rPr>
            <w:rFonts w:ascii="Times New Roman" w:hAnsi="Times New Roman" w:cs="Times New Roman"/>
            <w:sz w:val="16"/>
            <w:szCs w:val="16"/>
            <w:lang w:bidi="ru-RU"/>
          </w:rPr>
          <w:t>smpark.snuh@gmail.com</w:t>
        </w:r>
      </w:hyperlink>
      <w:r w:rsidRPr="00E8797D">
        <w:rPr>
          <w:rFonts w:ascii="Times New Roman" w:hAnsi="Times New Roman" w:cs="Times New Roman"/>
          <w:sz w:val="16"/>
          <w:szCs w:val="16"/>
          <w:lang w:bidi="ru-RU"/>
        </w:rPr>
        <w:t xml:space="preserve"> (S.M. Park).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17" w:type="dxa"/>
        <w:bottom w:w="17" w:type="dxa"/>
        <w:right w:w="17" w:type="dxa"/>
      </w:tblCellMar>
      <w:tblLook w:val="04A0" w:firstRow="1" w:lastRow="0" w:firstColumn="1" w:lastColumn="0" w:noHBand="0" w:noVBand="1"/>
    </w:tblPr>
    <w:tblGrid>
      <w:gridCol w:w="3522"/>
      <w:gridCol w:w="3525"/>
      <w:gridCol w:w="3525"/>
    </w:tblGrid>
    <w:tr w:rsidR="00D8072A" w:rsidRPr="001905F0" w14:paraId="4F39FFBD" w14:textId="77777777" w:rsidTr="00AD7DBA">
      <w:tc>
        <w:tcPr>
          <w:tcW w:w="1666" w:type="pct"/>
          <w:vAlign w:val="center"/>
        </w:tcPr>
        <w:p w14:paraId="4F39FFBA" w14:textId="77777777" w:rsidR="00D8072A" w:rsidRPr="001905F0" w:rsidRDefault="00AD7DBA" w:rsidP="00D8072A">
          <w:pPr>
            <w:pStyle w:val="aa"/>
            <w:rPr>
              <w:rFonts w:ascii="Times New Roman" w:hAnsi="Times New Roman" w:cs="Times New Roman"/>
              <w:sz w:val="14"/>
              <w:szCs w:val="14"/>
            </w:rPr>
          </w:pPr>
          <w:r w:rsidRPr="001905F0">
            <w:rPr>
              <w:rFonts w:ascii="Times New Roman" w:hAnsi="Times New Roman" w:cs="Times New Roman"/>
              <w:sz w:val="14"/>
              <w:szCs w:val="14"/>
              <w:lang w:bidi="ru-RU"/>
            </w:rPr>
            <w:fldChar w:fldCharType="begin"/>
          </w:r>
          <w:r w:rsidRPr="001905F0">
            <w:rPr>
              <w:rFonts w:ascii="Times New Roman" w:hAnsi="Times New Roman" w:cs="Times New Roman"/>
              <w:sz w:val="14"/>
              <w:szCs w:val="14"/>
              <w:lang w:bidi="ru-RU"/>
            </w:rPr>
            <w:instrText>PAGE   \* MERGEFORMAT</w:instrText>
          </w:r>
          <w:r w:rsidRPr="001905F0">
            <w:rPr>
              <w:rFonts w:ascii="Times New Roman" w:hAnsi="Times New Roman" w:cs="Times New Roman"/>
              <w:sz w:val="14"/>
              <w:szCs w:val="14"/>
              <w:lang w:bidi="ru-RU"/>
            </w:rPr>
            <w:fldChar w:fldCharType="separate"/>
          </w:r>
          <w:r w:rsidR="00716AE5">
            <w:rPr>
              <w:rFonts w:ascii="Times New Roman" w:hAnsi="Times New Roman" w:cs="Times New Roman"/>
              <w:noProof/>
              <w:sz w:val="14"/>
              <w:szCs w:val="14"/>
              <w:lang w:bidi="ru-RU"/>
            </w:rPr>
            <w:t>86</w:t>
          </w:r>
          <w:r w:rsidRPr="001905F0">
            <w:rPr>
              <w:rFonts w:ascii="Times New Roman" w:hAnsi="Times New Roman" w:cs="Times New Roman"/>
              <w:sz w:val="14"/>
              <w:szCs w:val="14"/>
              <w:lang w:bidi="ru-RU"/>
            </w:rPr>
            <w:fldChar w:fldCharType="end"/>
          </w:r>
        </w:p>
      </w:tc>
      <w:tc>
        <w:tcPr>
          <w:tcW w:w="1667" w:type="pct"/>
          <w:vAlign w:val="center"/>
        </w:tcPr>
        <w:p w14:paraId="4F39FFBB" w14:textId="77777777" w:rsidR="00D8072A" w:rsidRPr="001905F0" w:rsidRDefault="00D8072A" w:rsidP="00D8072A">
          <w:pPr>
            <w:pStyle w:val="1"/>
            <w:shd w:val="clear" w:color="auto" w:fill="auto"/>
            <w:ind w:firstLine="0"/>
            <w:rPr>
              <w:sz w:val="14"/>
              <w:szCs w:val="14"/>
              <w:lang w:val="en-US"/>
            </w:rPr>
          </w:pPr>
          <w:r w:rsidRPr="001905F0">
            <w:rPr>
              <w:i/>
              <w:sz w:val="14"/>
              <w:szCs w:val="14"/>
              <w:lang w:val="en-US" w:bidi="ru-RU"/>
            </w:rPr>
            <w:t xml:space="preserve">D. Shin </w:t>
          </w:r>
          <w:r w:rsidRPr="001905F0">
            <w:rPr>
              <w:i/>
              <w:sz w:val="14"/>
              <w:szCs w:val="14"/>
              <w:lang w:bidi="ru-RU"/>
            </w:rPr>
            <w:t>и</w:t>
          </w:r>
          <w:r w:rsidRPr="001905F0">
            <w:rPr>
              <w:i/>
              <w:sz w:val="14"/>
              <w:szCs w:val="14"/>
              <w:lang w:val="en-US" w:bidi="ru-RU"/>
            </w:rPr>
            <w:t xml:space="preserve"> </w:t>
          </w:r>
          <w:r w:rsidRPr="001905F0">
            <w:rPr>
              <w:i/>
              <w:sz w:val="14"/>
              <w:szCs w:val="14"/>
              <w:lang w:bidi="ru-RU"/>
            </w:rPr>
            <w:t>соавт</w:t>
          </w:r>
          <w:r w:rsidRPr="001905F0">
            <w:rPr>
              <w:i/>
              <w:sz w:val="14"/>
              <w:szCs w:val="14"/>
              <w:lang w:val="en-US" w:bidi="ru-RU"/>
            </w:rPr>
            <w:t>. / Atherosclerosis 230 (2013) 80</w:t>
          </w:r>
          <w:r w:rsidRPr="001905F0">
            <w:rPr>
              <w:rFonts w:eastAsia="Arial"/>
              <w:sz w:val="14"/>
              <w:szCs w:val="14"/>
              <w:lang w:val="en-US" w:bidi="ru-RU"/>
            </w:rPr>
            <w:t>–</w:t>
          </w:r>
          <w:r w:rsidRPr="001905F0">
            <w:rPr>
              <w:i/>
              <w:sz w:val="14"/>
              <w:szCs w:val="14"/>
              <w:lang w:val="en-US" w:bidi="ru-RU"/>
            </w:rPr>
            <w:t xml:space="preserve">85 </w:t>
          </w:r>
        </w:p>
      </w:tc>
      <w:tc>
        <w:tcPr>
          <w:tcW w:w="1667" w:type="pct"/>
          <w:vAlign w:val="center"/>
        </w:tcPr>
        <w:p w14:paraId="4F39FFBC" w14:textId="77777777" w:rsidR="00D8072A" w:rsidRPr="001905F0" w:rsidRDefault="00D8072A" w:rsidP="00D8072A">
          <w:pPr>
            <w:pStyle w:val="aa"/>
            <w:rPr>
              <w:rFonts w:ascii="Times New Roman" w:hAnsi="Times New Roman" w:cs="Times New Roman"/>
              <w:sz w:val="14"/>
              <w:szCs w:val="14"/>
              <w:lang w:val="en-US"/>
            </w:rPr>
          </w:pPr>
        </w:p>
      </w:tc>
    </w:tr>
  </w:tbl>
  <w:p w14:paraId="4F39FFBE" w14:textId="77777777" w:rsidR="00D8072A" w:rsidRPr="00A16EEF" w:rsidRDefault="00D8072A">
    <w:pPr>
      <w:pStyle w:val="aa"/>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left w:w="17" w:type="dxa"/>
        <w:bottom w:w="17" w:type="dxa"/>
        <w:right w:w="17" w:type="dxa"/>
      </w:tblCellMar>
      <w:tblLook w:val="04A0" w:firstRow="1" w:lastRow="0" w:firstColumn="1" w:lastColumn="0" w:noHBand="0" w:noVBand="1"/>
    </w:tblPr>
    <w:tblGrid>
      <w:gridCol w:w="3522"/>
      <w:gridCol w:w="3525"/>
      <w:gridCol w:w="3525"/>
    </w:tblGrid>
    <w:tr w:rsidR="00D8072A" w:rsidRPr="001905F0" w14:paraId="4F39FFC2" w14:textId="77777777" w:rsidTr="00D8072A">
      <w:tc>
        <w:tcPr>
          <w:tcW w:w="1666" w:type="pct"/>
          <w:vAlign w:val="center"/>
        </w:tcPr>
        <w:p w14:paraId="4F39FFBF" w14:textId="77777777" w:rsidR="00D8072A" w:rsidRPr="001905F0" w:rsidRDefault="00D8072A" w:rsidP="00D8072A">
          <w:pPr>
            <w:pStyle w:val="aa"/>
            <w:rPr>
              <w:rFonts w:ascii="Times New Roman" w:hAnsi="Times New Roman" w:cs="Times New Roman"/>
              <w:sz w:val="14"/>
              <w:szCs w:val="14"/>
            </w:rPr>
          </w:pPr>
        </w:p>
      </w:tc>
      <w:tc>
        <w:tcPr>
          <w:tcW w:w="1667" w:type="pct"/>
          <w:vAlign w:val="center"/>
        </w:tcPr>
        <w:p w14:paraId="4F39FFC0" w14:textId="77777777" w:rsidR="00D8072A" w:rsidRPr="001905F0" w:rsidRDefault="00D8072A" w:rsidP="00D8072A">
          <w:pPr>
            <w:pStyle w:val="1"/>
            <w:shd w:val="clear" w:color="auto" w:fill="auto"/>
            <w:ind w:firstLine="0"/>
            <w:jc w:val="center"/>
            <w:rPr>
              <w:sz w:val="14"/>
              <w:szCs w:val="14"/>
              <w:lang w:val="en-US"/>
            </w:rPr>
          </w:pPr>
          <w:r w:rsidRPr="001905F0">
            <w:rPr>
              <w:i/>
              <w:sz w:val="14"/>
              <w:szCs w:val="14"/>
              <w:lang w:val="en-US" w:bidi="ru-RU"/>
            </w:rPr>
            <w:t xml:space="preserve">D. Shin </w:t>
          </w:r>
          <w:r w:rsidRPr="001905F0">
            <w:rPr>
              <w:i/>
              <w:sz w:val="14"/>
              <w:szCs w:val="14"/>
              <w:lang w:bidi="ru-RU"/>
            </w:rPr>
            <w:t>и</w:t>
          </w:r>
          <w:r w:rsidRPr="001905F0">
            <w:rPr>
              <w:i/>
              <w:sz w:val="14"/>
              <w:szCs w:val="14"/>
              <w:lang w:val="en-US" w:bidi="ru-RU"/>
            </w:rPr>
            <w:t xml:space="preserve"> </w:t>
          </w:r>
          <w:r w:rsidRPr="001905F0">
            <w:rPr>
              <w:i/>
              <w:sz w:val="14"/>
              <w:szCs w:val="14"/>
              <w:lang w:bidi="ru-RU"/>
            </w:rPr>
            <w:t>соавт</w:t>
          </w:r>
          <w:r w:rsidRPr="001905F0">
            <w:rPr>
              <w:i/>
              <w:sz w:val="14"/>
              <w:szCs w:val="14"/>
              <w:lang w:val="en-US" w:bidi="ru-RU"/>
            </w:rPr>
            <w:t>. / Atherosclerosis 230 (2013) 80</w:t>
          </w:r>
          <w:r w:rsidRPr="001905F0">
            <w:rPr>
              <w:rFonts w:eastAsia="Arial"/>
              <w:sz w:val="14"/>
              <w:szCs w:val="14"/>
              <w:lang w:val="en-US" w:bidi="ru-RU"/>
            </w:rPr>
            <w:t>–</w:t>
          </w:r>
          <w:r w:rsidRPr="001905F0">
            <w:rPr>
              <w:i/>
              <w:sz w:val="14"/>
              <w:szCs w:val="14"/>
              <w:lang w:val="en-US" w:bidi="ru-RU"/>
            </w:rPr>
            <w:t>85</w:t>
          </w:r>
        </w:p>
      </w:tc>
      <w:tc>
        <w:tcPr>
          <w:tcW w:w="1667" w:type="pct"/>
          <w:vAlign w:val="center"/>
        </w:tcPr>
        <w:p w14:paraId="4F39FFC1" w14:textId="77777777" w:rsidR="00D8072A" w:rsidRPr="001905F0" w:rsidRDefault="00D8072A" w:rsidP="00D8072A">
          <w:pPr>
            <w:pStyle w:val="aa"/>
            <w:jc w:val="right"/>
            <w:rPr>
              <w:rFonts w:ascii="Times New Roman" w:hAnsi="Times New Roman" w:cs="Times New Roman"/>
              <w:sz w:val="14"/>
              <w:szCs w:val="14"/>
            </w:rPr>
          </w:pPr>
          <w:r w:rsidRPr="001905F0">
            <w:rPr>
              <w:rFonts w:ascii="Times New Roman" w:hAnsi="Times New Roman" w:cs="Times New Roman"/>
              <w:sz w:val="14"/>
              <w:szCs w:val="14"/>
              <w:lang w:bidi="ru-RU"/>
            </w:rPr>
            <w:fldChar w:fldCharType="begin"/>
          </w:r>
          <w:r w:rsidRPr="001905F0">
            <w:rPr>
              <w:rFonts w:ascii="Times New Roman" w:hAnsi="Times New Roman" w:cs="Times New Roman"/>
              <w:sz w:val="14"/>
              <w:szCs w:val="14"/>
              <w:lang w:bidi="ru-RU"/>
            </w:rPr>
            <w:instrText>PAGE   \* MERGEFORMAT</w:instrText>
          </w:r>
          <w:r w:rsidRPr="001905F0">
            <w:rPr>
              <w:rFonts w:ascii="Times New Roman" w:hAnsi="Times New Roman" w:cs="Times New Roman"/>
              <w:sz w:val="14"/>
              <w:szCs w:val="14"/>
              <w:lang w:bidi="ru-RU"/>
            </w:rPr>
            <w:fldChar w:fldCharType="separate"/>
          </w:r>
          <w:r w:rsidR="00716AE5">
            <w:rPr>
              <w:rFonts w:ascii="Times New Roman" w:hAnsi="Times New Roman" w:cs="Times New Roman"/>
              <w:noProof/>
              <w:sz w:val="14"/>
              <w:szCs w:val="14"/>
              <w:lang w:bidi="ru-RU"/>
            </w:rPr>
            <w:t>1</w:t>
          </w:r>
          <w:r w:rsidRPr="001905F0">
            <w:rPr>
              <w:rFonts w:ascii="Times New Roman" w:hAnsi="Times New Roman" w:cs="Times New Roman"/>
              <w:sz w:val="14"/>
              <w:szCs w:val="14"/>
              <w:lang w:bidi="ru-RU"/>
            </w:rPr>
            <w:fldChar w:fldCharType="end"/>
          </w:r>
        </w:p>
      </w:tc>
    </w:tr>
  </w:tbl>
  <w:p w14:paraId="4F39FFC3" w14:textId="77777777" w:rsidR="00D8072A" w:rsidRDefault="00D8072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96D4F"/>
    <w:multiLevelType w:val="multilevel"/>
    <w:tmpl w:val="EC32E4EC"/>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366680"/>
    <w:multiLevelType w:val="multilevel"/>
    <w:tmpl w:val="0D109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3D0A8D"/>
    <w:multiLevelType w:val="hybridMultilevel"/>
    <w:tmpl w:val="D0AAA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E0119"/>
    <w:rsid w:val="000D7E97"/>
    <w:rsid w:val="001905F0"/>
    <w:rsid w:val="002B2E66"/>
    <w:rsid w:val="004005C2"/>
    <w:rsid w:val="004130A4"/>
    <w:rsid w:val="004548C3"/>
    <w:rsid w:val="00501BF6"/>
    <w:rsid w:val="005113A2"/>
    <w:rsid w:val="00716AE5"/>
    <w:rsid w:val="007C7283"/>
    <w:rsid w:val="008A55D6"/>
    <w:rsid w:val="008E0119"/>
    <w:rsid w:val="00A16EEF"/>
    <w:rsid w:val="00AA231D"/>
    <w:rsid w:val="00AD7DBA"/>
    <w:rsid w:val="00B24174"/>
    <w:rsid w:val="00B614CB"/>
    <w:rsid w:val="00C81306"/>
    <w:rsid w:val="00CD19C1"/>
    <w:rsid w:val="00CE2983"/>
    <w:rsid w:val="00D8072A"/>
    <w:rsid w:val="00E6009B"/>
    <w:rsid w:val="00E8797D"/>
    <w:rsid w:val="00EA3BFF"/>
    <w:rsid w:val="00EE7737"/>
    <w:rsid w:val="00F224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sz w:val="14"/>
      <w:szCs w:val="14"/>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2"/>
      <w:szCs w:val="1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000066"/>
      <w:sz w:val="14"/>
      <w:szCs w:val="14"/>
      <w:u w:val="none"/>
    </w:rPr>
  </w:style>
  <w:style w:type="character" w:customStyle="1" w:styleId="2">
    <w:name w:val="Заголовок №2_"/>
    <w:basedOn w:val="a0"/>
    <w:link w:val="20"/>
    <w:rPr>
      <w:b w:val="0"/>
      <w:bCs w:val="0"/>
      <w:i w:val="0"/>
      <w:iCs w:val="0"/>
      <w:smallCaps w:val="0"/>
      <w:strike w:val="0"/>
      <w:sz w:val="17"/>
      <w:szCs w:val="17"/>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a4">
    <w:name w:val="Подпись к таблице"/>
    <w:basedOn w:val="a"/>
    <w:link w:val="a3"/>
    <w:pPr>
      <w:shd w:val="clear" w:color="auto" w:fill="FFFFFF"/>
      <w:spacing w:line="257" w:lineRule="auto"/>
    </w:pPr>
    <w:rPr>
      <w:rFonts w:ascii="Times New Roman" w:eastAsia="Times New Roman" w:hAnsi="Times New Roman" w:cs="Times New Roman"/>
      <w:sz w:val="14"/>
      <w:szCs w:val="14"/>
    </w:rPr>
  </w:style>
  <w:style w:type="paragraph" w:customStyle="1" w:styleId="a6">
    <w:name w:val="Другое"/>
    <w:basedOn w:val="a"/>
    <w:link w:val="a5"/>
    <w:pPr>
      <w:shd w:val="clear" w:color="auto" w:fill="FFFFFF"/>
      <w:ind w:firstLine="260"/>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12"/>
      <w:szCs w:val="12"/>
    </w:rPr>
  </w:style>
  <w:style w:type="paragraph" w:customStyle="1" w:styleId="40">
    <w:name w:val="Основной текст (4)"/>
    <w:basedOn w:val="a"/>
    <w:link w:val="4"/>
    <w:pPr>
      <w:shd w:val="clear" w:color="auto" w:fill="FFFFFF"/>
      <w:ind w:left="380" w:hanging="380"/>
    </w:pPr>
    <w:rPr>
      <w:rFonts w:ascii="Times New Roman" w:eastAsia="Times New Roman" w:hAnsi="Times New Roman" w:cs="Times New Roman"/>
      <w:color w:val="000066"/>
      <w:sz w:val="14"/>
      <w:szCs w:val="14"/>
    </w:rPr>
  </w:style>
  <w:style w:type="paragraph" w:customStyle="1" w:styleId="20">
    <w:name w:val="Заголовок №2"/>
    <w:basedOn w:val="a"/>
    <w:link w:val="2"/>
    <w:pPr>
      <w:shd w:val="clear" w:color="auto" w:fill="FFFFFF"/>
      <w:spacing w:line="257" w:lineRule="auto"/>
      <w:outlineLvl w:val="1"/>
    </w:pPr>
    <w:rPr>
      <w:sz w:val="17"/>
      <w:szCs w:val="17"/>
    </w:rPr>
  </w:style>
  <w:style w:type="paragraph" w:customStyle="1" w:styleId="1">
    <w:name w:val="Основной текст1"/>
    <w:basedOn w:val="a"/>
    <w:link w:val="a7"/>
    <w:pPr>
      <w:shd w:val="clear" w:color="auto" w:fill="FFFFFF"/>
      <w:ind w:firstLine="260"/>
    </w:pPr>
    <w:rPr>
      <w:rFonts w:ascii="Times New Roman" w:eastAsia="Times New Roman" w:hAnsi="Times New Roman" w:cs="Times New Roman"/>
      <w:sz w:val="18"/>
      <w:szCs w:val="18"/>
    </w:rPr>
  </w:style>
  <w:style w:type="paragraph" w:customStyle="1" w:styleId="30">
    <w:name w:val="Заголовок №3"/>
    <w:basedOn w:val="a"/>
    <w:link w:val="3"/>
    <w:pPr>
      <w:shd w:val="clear" w:color="auto" w:fill="FFFFFF"/>
      <w:spacing w:line="276" w:lineRule="auto"/>
      <w:outlineLvl w:val="2"/>
    </w:pPr>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D8072A"/>
    <w:rPr>
      <w:rFonts w:ascii="Tahoma" w:hAnsi="Tahoma" w:cs="Tahoma"/>
      <w:sz w:val="16"/>
      <w:szCs w:val="16"/>
    </w:rPr>
  </w:style>
  <w:style w:type="character" w:customStyle="1" w:styleId="a9">
    <w:name w:val="Текст выноски Знак"/>
    <w:basedOn w:val="a0"/>
    <w:link w:val="a8"/>
    <w:uiPriority w:val="99"/>
    <w:semiHidden/>
    <w:rsid w:val="00D8072A"/>
    <w:rPr>
      <w:rFonts w:ascii="Tahoma" w:hAnsi="Tahoma" w:cs="Tahoma"/>
      <w:color w:val="000000"/>
      <w:sz w:val="16"/>
      <w:szCs w:val="16"/>
    </w:rPr>
  </w:style>
  <w:style w:type="paragraph" w:styleId="aa">
    <w:name w:val="header"/>
    <w:basedOn w:val="a"/>
    <w:link w:val="ab"/>
    <w:uiPriority w:val="99"/>
    <w:unhideWhenUsed/>
    <w:rsid w:val="00D8072A"/>
    <w:pPr>
      <w:tabs>
        <w:tab w:val="center" w:pos="4677"/>
        <w:tab w:val="right" w:pos="9355"/>
      </w:tabs>
    </w:pPr>
  </w:style>
  <w:style w:type="character" w:customStyle="1" w:styleId="ab">
    <w:name w:val="Верхний колонтитул Знак"/>
    <w:basedOn w:val="a0"/>
    <w:link w:val="aa"/>
    <w:uiPriority w:val="99"/>
    <w:rsid w:val="00D8072A"/>
    <w:rPr>
      <w:color w:val="000000"/>
    </w:rPr>
  </w:style>
  <w:style w:type="paragraph" w:styleId="ac">
    <w:name w:val="footer"/>
    <w:basedOn w:val="a"/>
    <w:link w:val="ad"/>
    <w:uiPriority w:val="99"/>
    <w:unhideWhenUsed/>
    <w:rsid w:val="00D8072A"/>
    <w:pPr>
      <w:tabs>
        <w:tab w:val="center" w:pos="4677"/>
        <w:tab w:val="right" w:pos="9355"/>
      </w:tabs>
    </w:pPr>
  </w:style>
  <w:style w:type="character" w:customStyle="1" w:styleId="ad">
    <w:name w:val="Нижний колонтитул Знак"/>
    <w:basedOn w:val="a0"/>
    <w:link w:val="ac"/>
    <w:uiPriority w:val="99"/>
    <w:rsid w:val="00D8072A"/>
    <w:rPr>
      <w:color w:val="000000"/>
    </w:rPr>
  </w:style>
  <w:style w:type="table" w:styleId="ae">
    <w:name w:val="Table Grid"/>
    <w:basedOn w:val="a1"/>
    <w:uiPriority w:val="59"/>
    <w:rsid w:val="00D8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8797D"/>
    <w:rPr>
      <w:color w:val="0000FF" w:themeColor="hyperlink"/>
      <w:u w:val="single"/>
    </w:rPr>
  </w:style>
  <w:style w:type="character" w:customStyle="1" w:styleId="UnresolvedMention">
    <w:name w:val="Unresolved Mention"/>
    <w:basedOn w:val="a0"/>
    <w:uiPriority w:val="99"/>
    <w:semiHidden/>
    <w:unhideWhenUsed/>
    <w:rsid w:val="00E8797D"/>
    <w:rPr>
      <w:color w:val="605E5C"/>
      <w:shd w:val="clear" w:color="auto" w:fill="E1DFDD"/>
    </w:rPr>
  </w:style>
  <w:style w:type="paragraph" w:styleId="af0">
    <w:name w:val="footnote text"/>
    <w:basedOn w:val="a"/>
    <w:link w:val="af1"/>
    <w:uiPriority w:val="99"/>
    <w:semiHidden/>
    <w:unhideWhenUsed/>
    <w:rsid w:val="000D7E97"/>
    <w:rPr>
      <w:sz w:val="20"/>
      <w:szCs w:val="20"/>
    </w:rPr>
  </w:style>
  <w:style w:type="character" w:customStyle="1" w:styleId="af1">
    <w:name w:val="Текст сноски Знак"/>
    <w:basedOn w:val="a0"/>
    <w:link w:val="af0"/>
    <w:uiPriority w:val="99"/>
    <w:semiHidden/>
    <w:rsid w:val="000D7E97"/>
    <w:rPr>
      <w:color w:val="000000"/>
      <w:sz w:val="20"/>
      <w:szCs w:val="20"/>
    </w:rPr>
  </w:style>
  <w:style w:type="character" w:styleId="af2">
    <w:name w:val="footnote reference"/>
    <w:basedOn w:val="a0"/>
    <w:uiPriority w:val="99"/>
    <w:semiHidden/>
    <w:unhideWhenUsed/>
    <w:rsid w:val="000D7E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sz w:val="14"/>
      <w:szCs w:val="14"/>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2"/>
      <w:szCs w:val="1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000066"/>
      <w:sz w:val="14"/>
      <w:szCs w:val="14"/>
      <w:u w:val="none"/>
    </w:rPr>
  </w:style>
  <w:style w:type="character" w:customStyle="1" w:styleId="2">
    <w:name w:val="Заголовок №2_"/>
    <w:basedOn w:val="a0"/>
    <w:link w:val="20"/>
    <w:rPr>
      <w:b w:val="0"/>
      <w:bCs w:val="0"/>
      <w:i w:val="0"/>
      <w:iCs w:val="0"/>
      <w:smallCaps w:val="0"/>
      <w:strike w:val="0"/>
      <w:sz w:val="17"/>
      <w:szCs w:val="17"/>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16"/>
      <w:szCs w:val="16"/>
      <w:u w:val="none"/>
    </w:rPr>
  </w:style>
  <w:style w:type="paragraph" w:customStyle="1" w:styleId="a4">
    <w:name w:val="Подпись к таблице"/>
    <w:basedOn w:val="a"/>
    <w:link w:val="a3"/>
    <w:pPr>
      <w:shd w:val="clear" w:color="auto" w:fill="FFFFFF"/>
      <w:spacing w:line="257" w:lineRule="auto"/>
    </w:pPr>
    <w:rPr>
      <w:rFonts w:ascii="Times New Roman" w:eastAsia="Times New Roman" w:hAnsi="Times New Roman" w:cs="Times New Roman"/>
      <w:sz w:val="14"/>
      <w:szCs w:val="14"/>
    </w:rPr>
  </w:style>
  <w:style w:type="paragraph" w:customStyle="1" w:styleId="a6">
    <w:name w:val="Другое"/>
    <w:basedOn w:val="a"/>
    <w:link w:val="a5"/>
    <w:pPr>
      <w:shd w:val="clear" w:color="auto" w:fill="FFFFFF"/>
      <w:ind w:firstLine="260"/>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pPr>
    <w:rPr>
      <w:rFonts w:ascii="Times New Roman" w:eastAsia="Times New Roman" w:hAnsi="Times New Roman" w:cs="Times New Roman"/>
    </w:rPr>
  </w:style>
  <w:style w:type="paragraph" w:customStyle="1" w:styleId="50">
    <w:name w:val="Основной текст (5)"/>
    <w:basedOn w:val="a"/>
    <w:link w:val="5"/>
    <w:pPr>
      <w:shd w:val="clear" w:color="auto" w:fill="FFFFFF"/>
    </w:pPr>
    <w:rPr>
      <w:rFonts w:ascii="Times New Roman" w:eastAsia="Times New Roman" w:hAnsi="Times New Roman" w:cs="Times New Roman"/>
      <w:sz w:val="12"/>
      <w:szCs w:val="12"/>
    </w:rPr>
  </w:style>
  <w:style w:type="paragraph" w:customStyle="1" w:styleId="40">
    <w:name w:val="Основной текст (4)"/>
    <w:basedOn w:val="a"/>
    <w:link w:val="4"/>
    <w:pPr>
      <w:shd w:val="clear" w:color="auto" w:fill="FFFFFF"/>
      <w:ind w:left="380" w:hanging="380"/>
    </w:pPr>
    <w:rPr>
      <w:rFonts w:ascii="Times New Roman" w:eastAsia="Times New Roman" w:hAnsi="Times New Roman" w:cs="Times New Roman"/>
      <w:color w:val="000066"/>
      <w:sz w:val="14"/>
      <w:szCs w:val="14"/>
    </w:rPr>
  </w:style>
  <w:style w:type="paragraph" w:customStyle="1" w:styleId="20">
    <w:name w:val="Заголовок №2"/>
    <w:basedOn w:val="a"/>
    <w:link w:val="2"/>
    <w:pPr>
      <w:shd w:val="clear" w:color="auto" w:fill="FFFFFF"/>
      <w:spacing w:line="257" w:lineRule="auto"/>
      <w:outlineLvl w:val="1"/>
    </w:pPr>
    <w:rPr>
      <w:sz w:val="17"/>
      <w:szCs w:val="17"/>
    </w:rPr>
  </w:style>
  <w:style w:type="paragraph" w:customStyle="1" w:styleId="1">
    <w:name w:val="Основной текст1"/>
    <w:basedOn w:val="a"/>
    <w:link w:val="a7"/>
    <w:pPr>
      <w:shd w:val="clear" w:color="auto" w:fill="FFFFFF"/>
      <w:ind w:firstLine="260"/>
    </w:pPr>
    <w:rPr>
      <w:rFonts w:ascii="Times New Roman" w:eastAsia="Times New Roman" w:hAnsi="Times New Roman" w:cs="Times New Roman"/>
      <w:sz w:val="18"/>
      <w:szCs w:val="18"/>
    </w:rPr>
  </w:style>
  <w:style w:type="paragraph" w:customStyle="1" w:styleId="30">
    <w:name w:val="Заголовок №3"/>
    <w:basedOn w:val="a"/>
    <w:link w:val="3"/>
    <w:pPr>
      <w:shd w:val="clear" w:color="auto" w:fill="FFFFFF"/>
      <w:spacing w:line="276" w:lineRule="auto"/>
      <w:outlineLvl w:val="2"/>
    </w:pPr>
    <w:rPr>
      <w:rFonts w:ascii="Times New Roman" w:eastAsia="Times New Roman" w:hAnsi="Times New Roman" w:cs="Times New Roman"/>
      <w:sz w:val="16"/>
      <w:szCs w:val="16"/>
    </w:rPr>
  </w:style>
  <w:style w:type="paragraph" w:styleId="a8">
    <w:name w:val="Balloon Text"/>
    <w:basedOn w:val="a"/>
    <w:link w:val="a9"/>
    <w:uiPriority w:val="99"/>
    <w:semiHidden/>
    <w:unhideWhenUsed/>
    <w:rsid w:val="00D8072A"/>
    <w:rPr>
      <w:rFonts w:ascii="Tahoma" w:hAnsi="Tahoma" w:cs="Tahoma"/>
      <w:sz w:val="16"/>
      <w:szCs w:val="16"/>
    </w:rPr>
  </w:style>
  <w:style w:type="character" w:customStyle="1" w:styleId="a9">
    <w:name w:val="Текст выноски Знак"/>
    <w:basedOn w:val="a0"/>
    <w:link w:val="a8"/>
    <w:uiPriority w:val="99"/>
    <w:semiHidden/>
    <w:rsid w:val="00D8072A"/>
    <w:rPr>
      <w:rFonts w:ascii="Tahoma" w:hAnsi="Tahoma" w:cs="Tahoma"/>
      <w:color w:val="000000"/>
      <w:sz w:val="16"/>
      <w:szCs w:val="16"/>
    </w:rPr>
  </w:style>
  <w:style w:type="paragraph" w:styleId="aa">
    <w:name w:val="header"/>
    <w:basedOn w:val="a"/>
    <w:link w:val="ab"/>
    <w:uiPriority w:val="99"/>
    <w:unhideWhenUsed/>
    <w:rsid w:val="00D8072A"/>
    <w:pPr>
      <w:tabs>
        <w:tab w:val="center" w:pos="4677"/>
        <w:tab w:val="right" w:pos="9355"/>
      </w:tabs>
    </w:pPr>
  </w:style>
  <w:style w:type="character" w:customStyle="1" w:styleId="ab">
    <w:name w:val="Верхний колонтитул Знак"/>
    <w:basedOn w:val="a0"/>
    <w:link w:val="aa"/>
    <w:uiPriority w:val="99"/>
    <w:rsid w:val="00D8072A"/>
    <w:rPr>
      <w:color w:val="000000"/>
    </w:rPr>
  </w:style>
  <w:style w:type="paragraph" w:styleId="ac">
    <w:name w:val="footer"/>
    <w:basedOn w:val="a"/>
    <w:link w:val="ad"/>
    <w:uiPriority w:val="99"/>
    <w:unhideWhenUsed/>
    <w:rsid w:val="00D8072A"/>
    <w:pPr>
      <w:tabs>
        <w:tab w:val="center" w:pos="4677"/>
        <w:tab w:val="right" w:pos="9355"/>
      </w:tabs>
    </w:pPr>
  </w:style>
  <w:style w:type="character" w:customStyle="1" w:styleId="ad">
    <w:name w:val="Нижний колонтитул Знак"/>
    <w:basedOn w:val="a0"/>
    <w:link w:val="ac"/>
    <w:uiPriority w:val="99"/>
    <w:rsid w:val="00D8072A"/>
    <w:rPr>
      <w:color w:val="000000"/>
    </w:rPr>
  </w:style>
  <w:style w:type="table" w:styleId="ae">
    <w:name w:val="Table Grid"/>
    <w:basedOn w:val="a1"/>
    <w:uiPriority w:val="59"/>
    <w:rsid w:val="00D8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8797D"/>
    <w:rPr>
      <w:color w:val="0000FF" w:themeColor="hyperlink"/>
      <w:u w:val="single"/>
    </w:rPr>
  </w:style>
  <w:style w:type="character" w:customStyle="1" w:styleId="UnresolvedMention">
    <w:name w:val="Unresolved Mention"/>
    <w:basedOn w:val="a0"/>
    <w:uiPriority w:val="99"/>
    <w:semiHidden/>
    <w:unhideWhenUsed/>
    <w:rsid w:val="00E8797D"/>
    <w:rPr>
      <w:color w:val="605E5C"/>
      <w:shd w:val="clear" w:color="auto" w:fill="E1DFDD"/>
    </w:rPr>
  </w:style>
  <w:style w:type="paragraph" w:styleId="af0">
    <w:name w:val="footnote text"/>
    <w:basedOn w:val="a"/>
    <w:link w:val="af1"/>
    <w:uiPriority w:val="99"/>
    <w:semiHidden/>
    <w:unhideWhenUsed/>
    <w:rsid w:val="000D7E97"/>
    <w:rPr>
      <w:sz w:val="20"/>
      <w:szCs w:val="20"/>
    </w:rPr>
  </w:style>
  <w:style w:type="character" w:customStyle="1" w:styleId="af1">
    <w:name w:val="Текст сноски Знак"/>
    <w:basedOn w:val="a0"/>
    <w:link w:val="af0"/>
    <w:uiPriority w:val="99"/>
    <w:semiHidden/>
    <w:rsid w:val="000D7E97"/>
    <w:rPr>
      <w:color w:val="000000"/>
      <w:sz w:val="20"/>
      <w:szCs w:val="20"/>
    </w:rPr>
  </w:style>
  <w:style w:type="character" w:styleId="af2">
    <w:name w:val="footnote reference"/>
    <w:basedOn w:val="a0"/>
    <w:uiPriority w:val="99"/>
    <w:semiHidden/>
    <w:unhideWhenUsed/>
    <w:rsid w:val="000D7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sevier.com/locate/atherosclerosis" TargetMode="External"/><Relationship Id="rId18" Type="http://schemas.openxmlformats.org/officeDocument/2006/relationships/hyperlink" Target="http://dx.doi.org/10.1016/j.atherosclerosis.2013.06.025"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sciencedirect.com/science/journal/002191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dx.doi.org/10.1016/j.atherosclerosis.2013.06.025" TargetMode="External"/><Relationship Id="rId4" Type="http://schemas.microsoft.com/office/2007/relationships/stylesWithEffects" Target="stylesWithEffects.xml"/><Relationship Id="rId9" Type="http://schemas.openxmlformats.org/officeDocument/2006/relationships/hyperlink" Target="http://dx.doi.org/10.1016/j.atherosclerosis.2013.06.025"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016/j.atherosclerosis.2013.06.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mpark.snuh@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FB54-3A46-4EA8-813C-FD6D0932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5200</Words>
  <Characters>29644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2019-11-05T23:30:00Z</dcterms:created>
  <dcterms:modified xsi:type="dcterms:W3CDTF">2019-11-05T23:30:00Z</dcterms:modified>
</cp:coreProperties>
</file>